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82850513"/>
        <w:docPartObj>
          <w:docPartGallery w:val="Cover Pages"/>
          <w:docPartUnique/>
        </w:docPartObj>
      </w:sdtPr>
      <w:sdtEndPr>
        <w:rPr>
          <w:sz w:val="24"/>
          <w:szCs w:val="24"/>
        </w:rPr>
      </w:sdtEndPr>
      <w:sdtContent>
        <w:p w14:paraId="19E5AA20" w14:textId="738265F0" w:rsidR="00650E3A" w:rsidRPr="00A4582E" w:rsidRDefault="00EE5D53">
          <w:r>
            <w:rPr>
              <w:noProof/>
              <w:color w:val="FF990A"/>
              <w:sz w:val="76"/>
            </w:rPr>
            <w:drawing>
              <wp:anchor distT="0" distB="0" distL="114300" distR="114300" simplePos="0" relativeHeight="251667968" behindDoc="0" locked="0" layoutInCell="1" allowOverlap="1" wp14:anchorId="1C6CE925" wp14:editId="586EF97E">
                <wp:simplePos x="0" y="0"/>
                <wp:positionH relativeFrom="page">
                  <wp:align>right</wp:align>
                </wp:positionH>
                <wp:positionV relativeFrom="paragraph">
                  <wp:posOffset>-540775</wp:posOffset>
                </wp:positionV>
                <wp:extent cx="7555923" cy="5035062"/>
                <wp:effectExtent l="0" t="0" r="6985" b="0"/>
                <wp:wrapNone/>
                <wp:docPr id="721672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923" cy="5035062"/>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360"/>
            <w:gridCol w:w="6848"/>
          </w:tblGrid>
          <w:tr w:rsidR="00FF58D0" w:rsidRPr="00A4582E" w14:paraId="6EC93D31" w14:textId="77777777">
            <w:tc>
              <w:tcPr>
                <w:tcW w:w="3360" w:type="dxa"/>
                <w:vAlign w:val="center"/>
              </w:tcPr>
              <w:p w14:paraId="0332192B" w14:textId="60CD6FA4" w:rsidR="00FC33C7" w:rsidRPr="00A4582E" w:rsidRDefault="00FC33C7">
                <w:pPr>
                  <w:pStyle w:val="Mainheading"/>
                  <w:rPr>
                    <w:lang w:val="en-US"/>
                  </w:rPr>
                </w:pPr>
              </w:p>
            </w:tc>
            <w:tc>
              <w:tcPr>
                <w:tcW w:w="6848" w:type="dxa"/>
                <w:vAlign w:val="center"/>
              </w:tcPr>
              <w:p w14:paraId="33FC3D52" w14:textId="78E0DFEB" w:rsidR="00FC33C7" w:rsidRPr="00A4582E" w:rsidRDefault="00FC33C7">
                <w:pPr>
                  <w:pStyle w:val="Mainheading"/>
                  <w:rPr>
                    <w:b w:val="0"/>
                    <w:bCs/>
                    <w:lang w:val="en-US"/>
                  </w:rPr>
                </w:pPr>
                <w:r w:rsidRPr="00A4582E">
                  <w:rPr>
                    <w:b w:val="0"/>
                    <w:bCs/>
                    <w:lang w:val="en-US"/>
                  </w:rPr>
                  <w:t xml:space="preserve">  </w:t>
                </w:r>
              </w:p>
            </w:tc>
          </w:tr>
        </w:tbl>
        <w:p w14:paraId="7883D60D" w14:textId="6CF7D075" w:rsidR="00C843BE" w:rsidRDefault="00C843BE" w:rsidP="008D28CE">
          <w:pPr>
            <w:pStyle w:val="Mainheading3"/>
            <w:ind w:left="397"/>
            <w:rPr>
              <w:color w:val="FF990A"/>
              <w:sz w:val="76"/>
              <w:lang w:val="en-US"/>
            </w:rPr>
          </w:pPr>
        </w:p>
        <w:p w14:paraId="43B560BF" w14:textId="3D0E954C" w:rsidR="00C843BE" w:rsidRDefault="00C843BE" w:rsidP="008D28CE">
          <w:pPr>
            <w:pStyle w:val="Mainheading3"/>
            <w:ind w:left="397"/>
            <w:rPr>
              <w:color w:val="FF990A"/>
              <w:sz w:val="76"/>
              <w:lang w:val="en-US"/>
            </w:rPr>
          </w:pPr>
        </w:p>
        <w:p w14:paraId="11753784" w14:textId="77777777" w:rsidR="00C843BE" w:rsidRDefault="00C843BE" w:rsidP="008D28CE">
          <w:pPr>
            <w:pStyle w:val="Mainheading3"/>
            <w:ind w:left="397"/>
            <w:rPr>
              <w:color w:val="FF990A"/>
              <w:sz w:val="76"/>
              <w:lang w:val="en-US"/>
            </w:rPr>
          </w:pPr>
        </w:p>
        <w:p w14:paraId="1005C92E" w14:textId="77777777" w:rsidR="00C843BE" w:rsidRDefault="00C843BE" w:rsidP="008D28CE">
          <w:pPr>
            <w:pStyle w:val="Mainheading3"/>
            <w:ind w:left="397"/>
            <w:rPr>
              <w:color w:val="FF990A"/>
              <w:sz w:val="76"/>
              <w:lang w:val="en-US"/>
            </w:rPr>
          </w:pPr>
        </w:p>
        <w:p w14:paraId="2A646F9A" w14:textId="77777777" w:rsidR="00C843BE" w:rsidRDefault="00C843BE" w:rsidP="008D28CE">
          <w:pPr>
            <w:pStyle w:val="Mainheading3"/>
            <w:ind w:left="397"/>
            <w:rPr>
              <w:color w:val="FF990A"/>
              <w:sz w:val="76"/>
              <w:lang w:val="en-US"/>
            </w:rPr>
          </w:pPr>
        </w:p>
        <w:p w14:paraId="0B905811" w14:textId="77777777" w:rsidR="00C843BE" w:rsidRDefault="00C843BE" w:rsidP="008D28CE">
          <w:pPr>
            <w:pStyle w:val="Mainheading3"/>
            <w:ind w:left="397"/>
            <w:rPr>
              <w:color w:val="FF990A"/>
              <w:sz w:val="76"/>
              <w:lang w:val="en-US"/>
            </w:rPr>
          </w:pPr>
        </w:p>
        <w:p w14:paraId="4F9BF7D0" w14:textId="77777777" w:rsidR="00C843BE" w:rsidRDefault="00C843BE" w:rsidP="00EB4540">
          <w:pPr>
            <w:pStyle w:val="Mainheading3"/>
            <w:rPr>
              <w:color w:val="FF990A"/>
              <w:sz w:val="76"/>
              <w:lang w:val="en-US"/>
            </w:rPr>
          </w:pPr>
        </w:p>
        <w:p w14:paraId="4A5475B0" w14:textId="15E8A71D" w:rsidR="008D28CE" w:rsidRDefault="008D28CE" w:rsidP="008D28CE">
          <w:pPr>
            <w:pStyle w:val="Mainheading3"/>
            <w:ind w:left="397"/>
            <w:rPr>
              <w:color w:val="FF990A"/>
              <w:sz w:val="76"/>
              <w:lang w:val="en-US"/>
            </w:rPr>
          </w:pPr>
          <w:r w:rsidRPr="00A4582E">
            <w:rPr>
              <w:color w:val="FF990A"/>
              <w:sz w:val="76"/>
              <w:lang w:val="en-US"/>
            </w:rPr>
            <w:t xml:space="preserve">THE MUNICIPAL NETWORK PRINCIPLE IN </w:t>
          </w:r>
          <w:r w:rsidR="008B7FF8" w:rsidRPr="00A4582E">
            <w:rPr>
              <w:color w:val="FF990A"/>
              <w:sz w:val="76"/>
              <w:lang w:val="en-US"/>
            </w:rPr>
            <w:t xml:space="preserve"> </w:t>
          </w:r>
          <w:r w:rsidRPr="00A4582E">
            <w:rPr>
              <w:color w:val="FF990A"/>
              <w:sz w:val="76"/>
              <w:lang w:val="en-US"/>
            </w:rPr>
            <w:t>EUROPE</w:t>
          </w:r>
        </w:p>
        <w:p w14:paraId="02CAE153" w14:textId="426983DA" w:rsidR="00EB4540" w:rsidRPr="00EB4540" w:rsidRDefault="0071318C" w:rsidP="008D28CE">
          <w:pPr>
            <w:pStyle w:val="Mainheading3"/>
            <w:ind w:left="397"/>
            <w:rPr>
              <w:color w:val="FF990A"/>
              <w:sz w:val="36"/>
              <w:szCs w:val="6"/>
              <w:lang w:val="en-US"/>
            </w:rPr>
          </w:pPr>
          <w:r>
            <w:rPr>
              <w:noProof/>
              <w:color w:val="FF990A"/>
              <w:sz w:val="36"/>
              <w:szCs w:val="6"/>
              <w:lang w:val="en-US"/>
            </w:rPr>
            <mc:AlternateContent>
              <mc:Choice Requires="wps">
                <w:drawing>
                  <wp:anchor distT="0" distB="0" distL="114300" distR="114300" simplePos="0" relativeHeight="251662848" behindDoc="0" locked="0" layoutInCell="1" allowOverlap="1" wp14:anchorId="114A042E" wp14:editId="3D611F72">
                    <wp:simplePos x="0" y="0"/>
                    <wp:positionH relativeFrom="column">
                      <wp:posOffset>207010</wp:posOffset>
                    </wp:positionH>
                    <wp:positionV relativeFrom="paragraph">
                      <wp:posOffset>120650</wp:posOffset>
                    </wp:positionV>
                    <wp:extent cx="5867400" cy="17798"/>
                    <wp:effectExtent l="0" t="0" r="19050" b="20320"/>
                    <wp:wrapNone/>
                    <wp:docPr id="969164929" name="Straight Connector 1"/>
                    <wp:cNvGraphicFramePr/>
                    <a:graphic xmlns:a="http://schemas.openxmlformats.org/drawingml/2006/main">
                      <a:graphicData uri="http://schemas.microsoft.com/office/word/2010/wordprocessingShape">
                        <wps:wsp>
                          <wps:cNvCnPr/>
                          <wps:spPr>
                            <a:xfrm>
                              <a:off x="0" y="0"/>
                              <a:ext cx="5867400" cy="17798"/>
                            </a:xfrm>
                            <a:prstGeom prst="line">
                              <a:avLst/>
                            </a:prstGeom>
                            <a:ln w="19050">
                              <a:solidFill>
                                <a:schemeClr val="accent4">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C1977" id="Straight Connector 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9.5pt" to="478.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" strokecolor="#0f0f18 [327]" strokeweight="1.5pt">
                    <v:stroke joinstyle="miter"/>
                  </v:line>
                </w:pict>
              </mc:Fallback>
            </mc:AlternateContent>
          </w:r>
        </w:p>
        <w:p w14:paraId="0FB7D548" w14:textId="634982C7" w:rsidR="008D28CE" w:rsidRPr="00C843BE" w:rsidRDefault="008D28CE" w:rsidP="00C843BE">
          <w:pPr>
            <w:pStyle w:val="Mainheading3"/>
            <w:ind w:left="397"/>
            <w:rPr>
              <w:color w:val="333333"/>
              <w:lang w:val="en-US"/>
            </w:rPr>
            <w:sectPr w:rsidR="008D28CE" w:rsidRPr="00C843BE" w:rsidSect="00FC33C7">
              <w:headerReference w:type="first" r:id="rId12"/>
              <w:endnotePr>
                <w:numFmt w:val="decimal"/>
              </w:endnotePr>
              <w:pgSz w:w="11909" w:h="16834" w:code="9"/>
              <w:pgMar w:top="851" w:right="567" w:bottom="851" w:left="567" w:header="567" w:footer="284" w:gutter="567"/>
              <w:cols w:space="720"/>
              <w:titlePg/>
            </w:sectPr>
          </w:pPr>
          <w:r w:rsidRPr="00A4582E">
            <w:rPr>
              <w:color w:val="333333"/>
              <w:sz w:val="46"/>
              <w:szCs w:val="46"/>
              <w:lang w:val="en-US"/>
            </w:rPr>
            <w:t xml:space="preserve">How local network owners contribute </w:t>
          </w:r>
          <w:r w:rsidRPr="00A4582E">
            <w:rPr>
              <w:color w:val="333333"/>
              <w:sz w:val="46"/>
              <w:szCs w:val="46"/>
              <w:lang w:val="en-US"/>
            </w:rPr>
            <w:br/>
            <w:t xml:space="preserve">to broadband deployment, competition, </w:t>
          </w:r>
          <w:r w:rsidR="00EB4540">
            <w:rPr>
              <w:color w:val="333333"/>
              <w:sz w:val="46"/>
              <w:szCs w:val="46"/>
              <w:lang w:val="en-US"/>
            </w:rPr>
            <w:t xml:space="preserve">  </w:t>
          </w:r>
          <w:r w:rsidRPr="00A4582E">
            <w:rPr>
              <w:color w:val="333333"/>
              <w:sz w:val="46"/>
              <w:szCs w:val="46"/>
              <w:lang w:val="en-US"/>
            </w:rPr>
            <w:t>and digital resilience across Europe</w:t>
          </w:r>
        </w:p>
        <w:p w14:paraId="017C8D5C" w14:textId="527707D8" w:rsidR="00650E3A" w:rsidRPr="00A4582E" w:rsidRDefault="00572CE5" w:rsidP="00C843BE">
          <w:pPr>
            <w:spacing w:line="240" w:lineRule="auto"/>
            <w:rPr>
              <w:sz w:val="24"/>
              <w:szCs w:val="32"/>
            </w:rPr>
          </w:pPr>
        </w:p>
      </w:sdtContent>
    </w:sdt>
    <w:p w14:paraId="3B077613" w14:textId="35EE7C3E" w:rsidR="007F7479" w:rsidRPr="00A4582E" w:rsidRDefault="007F7479" w:rsidP="00C843BE">
      <w:pPr>
        <w:spacing w:line="240" w:lineRule="auto"/>
        <w:rPr>
          <w:b/>
          <w:bCs/>
          <w:sz w:val="20"/>
        </w:rPr>
      </w:pPr>
      <w:bookmarkStart w:id="0" w:name="_Hlk190851717"/>
      <w:bookmarkEnd w:id="0"/>
    </w:p>
    <w:p w14:paraId="2AB28A25" w14:textId="13AA30D2" w:rsidR="007F7479" w:rsidRPr="00A4582E" w:rsidRDefault="003B0755" w:rsidP="00372803">
      <w:pPr>
        <w:spacing w:line="240" w:lineRule="auto"/>
        <w:ind w:left="397"/>
        <w:rPr>
          <w:b/>
          <w:bCs/>
          <w:sz w:val="20"/>
        </w:rPr>
      </w:pPr>
      <w:r w:rsidRPr="00A4582E">
        <w:rPr>
          <w:b/>
          <w:bCs/>
          <w:noProof/>
          <w:sz w:val="20"/>
        </w:rPr>
        <w:drawing>
          <wp:anchor distT="0" distB="0" distL="114300" distR="114300" simplePos="0" relativeHeight="251653632" behindDoc="0" locked="0" layoutInCell="1" allowOverlap="1" wp14:anchorId="43FC7C28" wp14:editId="267A5D3F">
            <wp:simplePos x="0" y="0"/>
            <wp:positionH relativeFrom="margin">
              <wp:posOffset>264160</wp:posOffset>
            </wp:positionH>
            <wp:positionV relativeFrom="paragraph">
              <wp:posOffset>77470</wp:posOffset>
            </wp:positionV>
            <wp:extent cx="789305" cy="789305"/>
            <wp:effectExtent l="0" t="0" r="0" b="0"/>
            <wp:wrapNone/>
            <wp:docPr id="5124" name="Picture 4" descr="Pressbilder och logotyp - Stadsnätsföreningen">
              <a:extLst xmlns:a="http://schemas.openxmlformats.org/drawingml/2006/main">
                <a:ext uri="{FF2B5EF4-FFF2-40B4-BE49-F238E27FC236}">
                  <a16:creationId xmlns:a16="http://schemas.microsoft.com/office/drawing/2014/main" id="{CB899E5B-3CF9-F399-ADBE-DFA8DA79D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Pressbilder och logotyp - Stadsnätsföreningen">
                      <a:extLst>
                        <a:ext uri="{FF2B5EF4-FFF2-40B4-BE49-F238E27FC236}">
                          <a16:creationId xmlns:a16="http://schemas.microsoft.com/office/drawing/2014/main" id="{CB899E5B-3CF9-F399-ADBE-DFA8DA79DA5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9305" cy="789305"/>
                    </a:xfrm>
                    <a:prstGeom prst="rect">
                      <a:avLst/>
                    </a:prstGeom>
                    <a:noFill/>
                  </pic:spPr>
                </pic:pic>
              </a:graphicData>
            </a:graphic>
            <wp14:sizeRelH relativeFrom="margin">
              <wp14:pctWidth>0</wp14:pctWidth>
            </wp14:sizeRelH>
            <wp14:sizeRelV relativeFrom="margin">
              <wp14:pctHeight>0</wp14:pctHeight>
            </wp14:sizeRelV>
          </wp:anchor>
        </w:drawing>
      </w:r>
    </w:p>
    <w:p w14:paraId="73739943" w14:textId="3B74C149" w:rsidR="007F7479" w:rsidRPr="00A4582E" w:rsidRDefault="00A466B3" w:rsidP="00372803">
      <w:pPr>
        <w:spacing w:line="240" w:lineRule="auto"/>
        <w:ind w:left="397"/>
        <w:rPr>
          <w:b/>
          <w:bCs/>
          <w:sz w:val="20"/>
        </w:rPr>
      </w:pPr>
      <w:r>
        <w:rPr>
          <w:b/>
          <w:bCs/>
          <w:noProof/>
          <w:sz w:val="20"/>
        </w:rPr>
        <w:drawing>
          <wp:anchor distT="0" distB="0" distL="114300" distR="114300" simplePos="0" relativeHeight="251668992" behindDoc="0" locked="0" layoutInCell="1" allowOverlap="1" wp14:anchorId="47A191E5" wp14:editId="4D0A7D6B">
            <wp:simplePos x="0" y="0"/>
            <wp:positionH relativeFrom="column">
              <wp:posOffset>1766570</wp:posOffset>
            </wp:positionH>
            <wp:positionV relativeFrom="paragraph">
              <wp:posOffset>86995</wp:posOffset>
            </wp:positionV>
            <wp:extent cx="1170940" cy="484505"/>
            <wp:effectExtent l="0" t="0" r="0" b="0"/>
            <wp:wrapThrough wrapText="bothSides">
              <wp:wrapPolygon edited="0">
                <wp:start x="0" y="0"/>
                <wp:lineTo x="0" y="20383"/>
                <wp:lineTo x="21085" y="20383"/>
                <wp:lineTo x="21085" y="0"/>
                <wp:lineTo x="0" y="0"/>
              </wp:wrapPolygon>
            </wp:wrapThrough>
            <wp:docPr id="747536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0940"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7F102" w14:textId="47A66D15" w:rsidR="007F7479" w:rsidRPr="00A4582E" w:rsidRDefault="007F7479" w:rsidP="00372803">
      <w:pPr>
        <w:spacing w:line="240" w:lineRule="auto"/>
        <w:ind w:left="397"/>
        <w:rPr>
          <w:b/>
          <w:bCs/>
          <w:sz w:val="20"/>
        </w:rPr>
      </w:pPr>
    </w:p>
    <w:p w14:paraId="1EC08F0B" w14:textId="2B7F07A1" w:rsidR="007F7479" w:rsidRPr="00A4582E" w:rsidRDefault="007F7479" w:rsidP="00372803">
      <w:pPr>
        <w:spacing w:line="240" w:lineRule="auto"/>
        <w:ind w:left="397"/>
        <w:rPr>
          <w:b/>
          <w:bCs/>
          <w:sz w:val="20"/>
        </w:rPr>
      </w:pPr>
    </w:p>
    <w:p w14:paraId="149E01FF" w14:textId="7D26630B" w:rsidR="007F7479" w:rsidRPr="00A4582E" w:rsidRDefault="007F7479" w:rsidP="00844EA5">
      <w:pPr>
        <w:spacing w:line="240" w:lineRule="auto"/>
        <w:ind w:left="397"/>
        <w:rPr>
          <w:b/>
          <w:bCs/>
          <w:sz w:val="20"/>
        </w:rPr>
      </w:pPr>
    </w:p>
    <w:p w14:paraId="22AD42F9" w14:textId="4B6BACBA" w:rsidR="007F7479" w:rsidRPr="00A4582E" w:rsidRDefault="007F7479" w:rsidP="00372803">
      <w:pPr>
        <w:spacing w:line="240" w:lineRule="auto"/>
        <w:ind w:left="397"/>
        <w:rPr>
          <w:b/>
          <w:bCs/>
          <w:sz w:val="20"/>
        </w:rPr>
      </w:pPr>
    </w:p>
    <w:p w14:paraId="4F6773C2" w14:textId="7208F66E" w:rsidR="007F7479" w:rsidRPr="00A4582E" w:rsidRDefault="007F7479" w:rsidP="00372803">
      <w:pPr>
        <w:spacing w:line="240" w:lineRule="auto"/>
        <w:ind w:left="397"/>
        <w:rPr>
          <w:b/>
          <w:bCs/>
          <w:sz w:val="20"/>
        </w:rPr>
      </w:pPr>
    </w:p>
    <w:p w14:paraId="35B5D088" w14:textId="37CFEFEC" w:rsidR="007F7479" w:rsidRPr="00A4582E" w:rsidRDefault="007F7479" w:rsidP="00372803">
      <w:pPr>
        <w:spacing w:line="240" w:lineRule="auto"/>
        <w:ind w:left="397"/>
        <w:rPr>
          <w:b/>
          <w:bCs/>
          <w:sz w:val="20"/>
        </w:rPr>
      </w:pPr>
    </w:p>
    <w:p w14:paraId="7B018424" w14:textId="36E1EFDC" w:rsidR="007F7479" w:rsidRPr="00A4582E" w:rsidRDefault="007F7479" w:rsidP="00372803">
      <w:pPr>
        <w:spacing w:line="240" w:lineRule="auto"/>
        <w:ind w:left="397"/>
        <w:rPr>
          <w:b/>
          <w:bCs/>
          <w:sz w:val="20"/>
        </w:rPr>
      </w:pPr>
    </w:p>
    <w:p w14:paraId="5B3227D9" w14:textId="45A5EE80" w:rsidR="007F7479" w:rsidRPr="00A4582E" w:rsidRDefault="007F7479" w:rsidP="00372803">
      <w:pPr>
        <w:spacing w:line="240" w:lineRule="auto"/>
        <w:ind w:left="397"/>
        <w:rPr>
          <w:b/>
          <w:bCs/>
          <w:sz w:val="20"/>
        </w:rPr>
      </w:pPr>
    </w:p>
    <w:p w14:paraId="747E9216" w14:textId="4706800C" w:rsidR="007F7479" w:rsidRPr="00A4582E" w:rsidRDefault="007F7479" w:rsidP="00372803">
      <w:pPr>
        <w:spacing w:line="240" w:lineRule="auto"/>
        <w:ind w:left="397"/>
        <w:rPr>
          <w:b/>
          <w:bCs/>
          <w:sz w:val="20"/>
        </w:rPr>
      </w:pPr>
    </w:p>
    <w:p w14:paraId="33B19FA2" w14:textId="77777777" w:rsidR="007F7479" w:rsidRPr="00A4582E" w:rsidRDefault="007F7479" w:rsidP="00372803">
      <w:pPr>
        <w:spacing w:line="240" w:lineRule="auto"/>
        <w:ind w:left="397"/>
        <w:rPr>
          <w:b/>
          <w:bCs/>
          <w:sz w:val="20"/>
        </w:rPr>
      </w:pPr>
    </w:p>
    <w:p w14:paraId="50F294DD" w14:textId="77777777" w:rsidR="007F7479" w:rsidRPr="00A4582E" w:rsidRDefault="007F7479" w:rsidP="00372803">
      <w:pPr>
        <w:spacing w:line="240" w:lineRule="auto"/>
        <w:ind w:left="397"/>
        <w:rPr>
          <w:b/>
          <w:bCs/>
          <w:sz w:val="20"/>
        </w:rPr>
      </w:pPr>
    </w:p>
    <w:p w14:paraId="61F82AA5" w14:textId="0C59F143" w:rsidR="007F7479" w:rsidRPr="00A4582E" w:rsidRDefault="00121167" w:rsidP="00372803">
      <w:pPr>
        <w:spacing w:line="240" w:lineRule="auto"/>
        <w:ind w:left="397"/>
        <w:rPr>
          <w:b/>
          <w:bCs/>
          <w:sz w:val="20"/>
        </w:rPr>
      </w:pPr>
      <w:r w:rsidRPr="00844EA5">
        <w:rPr>
          <w:b/>
          <w:bCs/>
          <w:noProof/>
          <w:sz w:val="20"/>
        </w:rPr>
        <w:drawing>
          <wp:anchor distT="0" distB="0" distL="114300" distR="114300" simplePos="0" relativeHeight="251666944" behindDoc="0" locked="0" layoutInCell="1" allowOverlap="1" wp14:anchorId="6ED337F8" wp14:editId="1CA2CA5D">
            <wp:simplePos x="0" y="0"/>
            <wp:positionH relativeFrom="column">
              <wp:posOffset>1978025</wp:posOffset>
            </wp:positionH>
            <wp:positionV relativeFrom="paragraph">
              <wp:posOffset>161925</wp:posOffset>
            </wp:positionV>
            <wp:extent cx="675640" cy="675640"/>
            <wp:effectExtent l="0" t="0" r="0" b="0"/>
            <wp:wrapNone/>
            <wp:docPr id="6" name="Picture 4" descr="VÖWG &amp; VKÖ | LinkedIn">
              <a:extLst xmlns:a="http://schemas.openxmlformats.org/drawingml/2006/main">
                <a:ext uri="{FF2B5EF4-FFF2-40B4-BE49-F238E27FC236}">
                  <a16:creationId xmlns:a16="http://schemas.microsoft.com/office/drawing/2014/main" id="{243CE6DC-190E-C6E0-F494-595345920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VÖWG &amp; VKÖ | LinkedIn">
                      <a:extLst>
                        <a:ext uri="{FF2B5EF4-FFF2-40B4-BE49-F238E27FC236}">
                          <a16:creationId xmlns:a16="http://schemas.microsoft.com/office/drawing/2014/main" id="{243CE6DC-190E-C6E0-F494-595345920BD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pic:spPr>
                </pic:pic>
              </a:graphicData>
            </a:graphic>
            <wp14:sizeRelH relativeFrom="margin">
              <wp14:pctWidth>0</wp14:pctWidth>
            </wp14:sizeRelH>
            <wp14:sizeRelV relativeFrom="margin">
              <wp14:pctHeight>0</wp14:pctHeight>
            </wp14:sizeRelV>
          </wp:anchor>
        </w:drawing>
      </w:r>
    </w:p>
    <w:p w14:paraId="07892849" w14:textId="451C8EF8" w:rsidR="007F7479" w:rsidRDefault="00121167" w:rsidP="00372803">
      <w:pPr>
        <w:spacing w:line="240" w:lineRule="auto"/>
        <w:ind w:left="397"/>
        <w:rPr>
          <w:b/>
          <w:bCs/>
          <w:sz w:val="20"/>
        </w:rPr>
      </w:pPr>
      <w:r w:rsidRPr="00844EA5">
        <w:rPr>
          <w:b/>
          <w:bCs/>
          <w:noProof/>
          <w:sz w:val="20"/>
        </w:rPr>
        <w:drawing>
          <wp:anchor distT="0" distB="0" distL="114300" distR="114300" simplePos="0" relativeHeight="251665920" behindDoc="0" locked="0" layoutInCell="1" allowOverlap="1" wp14:anchorId="75F9FB32" wp14:editId="2C3A20D6">
            <wp:simplePos x="0" y="0"/>
            <wp:positionH relativeFrom="page">
              <wp:posOffset>4369435</wp:posOffset>
            </wp:positionH>
            <wp:positionV relativeFrom="paragraph">
              <wp:posOffset>111760</wp:posOffset>
            </wp:positionV>
            <wp:extent cx="996819" cy="486838"/>
            <wp:effectExtent l="0" t="0" r="0" b="8890"/>
            <wp:wrapNone/>
            <wp:docPr id="5" name="Picture 4" descr="Verband kommunaler Unternehmen - Wikipedia">
              <a:extLst xmlns:a="http://schemas.openxmlformats.org/drawingml/2006/main">
                <a:ext uri="{FF2B5EF4-FFF2-40B4-BE49-F238E27FC236}">
                  <a16:creationId xmlns:a16="http://schemas.microsoft.com/office/drawing/2014/main" id="{6EE99A35-F081-3E1C-B4E4-780F860B9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erband kommunaler Unternehmen - Wikipedia">
                      <a:extLst>
                        <a:ext uri="{FF2B5EF4-FFF2-40B4-BE49-F238E27FC236}">
                          <a16:creationId xmlns:a16="http://schemas.microsoft.com/office/drawing/2014/main" id="{6EE99A35-F081-3E1C-B4E4-780F860B99EA}"/>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6819" cy="486838"/>
                    </a:xfrm>
                    <a:prstGeom prst="rect">
                      <a:avLst/>
                    </a:prstGeom>
                    <a:noFill/>
                  </pic:spPr>
                </pic:pic>
              </a:graphicData>
            </a:graphic>
            <wp14:sizeRelH relativeFrom="margin">
              <wp14:pctWidth>0</wp14:pctWidth>
            </wp14:sizeRelH>
            <wp14:sizeRelV relativeFrom="margin">
              <wp14:pctHeight>0</wp14:pctHeight>
            </wp14:sizeRelV>
          </wp:anchor>
        </w:drawing>
      </w:r>
    </w:p>
    <w:p w14:paraId="2A473457" w14:textId="7776319B" w:rsidR="00121167" w:rsidRDefault="00121167" w:rsidP="00372803">
      <w:pPr>
        <w:spacing w:line="240" w:lineRule="auto"/>
        <w:ind w:left="397"/>
        <w:rPr>
          <w:b/>
          <w:bCs/>
          <w:sz w:val="20"/>
        </w:rPr>
      </w:pPr>
    </w:p>
    <w:p w14:paraId="1821AD98" w14:textId="3CF42979" w:rsidR="00121167" w:rsidRDefault="00121167" w:rsidP="00372803">
      <w:pPr>
        <w:spacing w:line="240" w:lineRule="auto"/>
        <w:ind w:left="397"/>
        <w:rPr>
          <w:b/>
          <w:bCs/>
          <w:sz w:val="20"/>
        </w:rPr>
      </w:pPr>
    </w:p>
    <w:p w14:paraId="1D95A23C" w14:textId="04BCEA07" w:rsidR="00121167" w:rsidRDefault="00121167" w:rsidP="00372803">
      <w:pPr>
        <w:spacing w:line="240" w:lineRule="auto"/>
        <w:ind w:left="397"/>
        <w:rPr>
          <w:b/>
          <w:bCs/>
          <w:sz w:val="20"/>
        </w:rPr>
      </w:pPr>
    </w:p>
    <w:p w14:paraId="0C74ED40" w14:textId="49154E26" w:rsidR="00121167" w:rsidRDefault="00121167" w:rsidP="00372803">
      <w:pPr>
        <w:spacing w:line="240" w:lineRule="auto"/>
        <w:ind w:left="397"/>
        <w:rPr>
          <w:b/>
          <w:bCs/>
          <w:sz w:val="20"/>
        </w:rPr>
      </w:pPr>
    </w:p>
    <w:p w14:paraId="2F3AD510" w14:textId="77777777" w:rsidR="00121167" w:rsidRDefault="00121167" w:rsidP="00372803">
      <w:pPr>
        <w:spacing w:line="240" w:lineRule="auto"/>
        <w:ind w:left="397"/>
        <w:rPr>
          <w:b/>
          <w:bCs/>
          <w:sz w:val="20"/>
        </w:rPr>
      </w:pPr>
    </w:p>
    <w:p w14:paraId="47A476CB" w14:textId="77777777" w:rsidR="00121167" w:rsidRPr="00A4582E" w:rsidRDefault="00121167" w:rsidP="00372803">
      <w:pPr>
        <w:spacing w:line="240" w:lineRule="auto"/>
        <w:ind w:left="397"/>
        <w:rPr>
          <w:b/>
          <w:bCs/>
          <w:sz w:val="20"/>
        </w:rPr>
      </w:pPr>
    </w:p>
    <w:p w14:paraId="797E8F74" w14:textId="6EE8EBC6" w:rsidR="007F7479" w:rsidRPr="00A4582E" w:rsidRDefault="007F7479" w:rsidP="00372803">
      <w:pPr>
        <w:spacing w:line="240" w:lineRule="auto"/>
        <w:ind w:left="397"/>
        <w:rPr>
          <w:b/>
          <w:bCs/>
          <w:sz w:val="20"/>
        </w:rPr>
      </w:pPr>
    </w:p>
    <w:p w14:paraId="7B3992F4" w14:textId="5AAAA3D8" w:rsidR="007F7479" w:rsidRPr="00A4582E" w:rsidRDefault="00FF58D0" w:rsidP="00121167">
      <w:pPr>
        <w:spacing w:line="240" w:lineRule="auto"/>
        <w:ind w:left="2779" w:firstLine="397"/>
        <w:rPr>
          <w:b/>
          <w:bCs/>
          <w:sz w:val="20"/>
        </w:rPr>
      </w:pPr>
      <w:r w:rsidRPr="00FF58D0">
        <w:rPr>
          <w:b/>
          <w:bCs/>
          <w:sz w:val="20"/>
          <w:highlight w:val="yellow"/>
        </w:rPr>
        <w:t>2026-02-xx</w:t>
      </w:r>
    </w:p>
    <w:p w14:paraId="75A4E482" w14:textId="0B6E36D8" w:rsidR="00CD3750" w:rsidRPr="00A4582E" w:rsidRDefault="00CD3750" w:rsidP="00C843BE">
      <w:pPr>
        <w:spacing w:line="240" w:lineRule="auto"/>
        <w:rPr>
          <w:b/>
          <w:bCs/>
          <w:sz w:val="20"/>
        </w:rPr>
      </w:pPr>
    </w:p>
    <w:p w14:paraId="10978897" w14:textId="67095444" w:rsidR="00F76571" w:rsidRPr="00A4582E" w:rsidRDefault="00A26105" w:rsidP="00D01076">
      <w:pPr>
        <w:spacing w:line="240" w:lineRule="auto"/>
        <w:rPr>
          <w:b/>
          <w:bCs/>
          <w:sz w:val="20"/>
        </w:rPr>
      </w:pPr>
      <w:r w:rsidRPr="00A4582E">
        <w:rPr>
          <w:b/>
          <w:bCs/>
          <w:sz w:val="20"/>
        </w:rPr>
        <w:lastRenderedPageBreak/>
        <w:t>Ack</w:t>
      </w:r>
      <w:r w:rsidR="000631AE" w:rsidRPr="00A4582E">
        <w:rPr>
          <w:b/>
          <w:bCs/>
          <w:sz w:val="20"/>
        </w:rPr>
        <w:t>nowledgements &amp; Disclaimer</w:t>
      </w:r>
    </w:p>
    <w:p w14:paraId="13308168" w14:textId="77777777" w:rsidR="00A26105" w:rsidRPr="00A4582E" w:rsidRDefault="00A26105" w:rsidP="00D01076">
      <w:pPr>
        <w:spacing w:line="240" w:lineRule="auto"/>
        <w:rPr>
          <w:b/>
          <w:bCs/>
          <w:sz w:val="20"/>
        </w:rPr>
      </w:pPr>
    </w:p>
    <w:p w14:paraId="24CBE188" w14:textId="0234268D" w:rsidR="007E6CC5" w:rsidRPr="00A4582E" w:rsidRDefault="00EE7207" w:rsidP="00810137">
      <w:r w:rsidRPr="00A4582E">
        <w:t xml:space="preserve">This report has been prepared by Arthur D. Little on behalf of </w:t>
      </w:r>
      <w:r w:rsidR="00247005" w:rsidRPr="00A4582E">
        <w:t xml:space="preserve">The Swedish Local </w:t>
      </w:r>
      <w:proofErr w:type="spellStart"/>
      <w:r w:rsidR="00247005" w:rsidRPr="00A4582E">
        <w:t>Fibre</w:t>
      </w:r>
      <w:proofErr w:type="spellEnd"/>
      <w:r w:rsidR="00247005" w:rsidRPr="00A4582E">
        <w:t xml:space="preserve"> Alliance</w:t>
      </w:r>
      <w:r w:rsidR="007A467C" w:rsidRPr="00A4582E">
        <w:t xml:space="preserve"> (Svenska </w:t>
      </w:r>
      <w:proofErr w:type="spellStart"/>
      <w:r w:rsidR="007A467C" w:rsidRPr="00A4582E">
        <w:t>Stadsnätsför</w:t>
      </w:r>
      <w:r w:rsidR="00346A25" w:rsidRPr="00A4582E">
        <w:t>eningen</w:t>
      </w:r>
      <w:proofErr w:type="spellEnd"/>
      <w:r w:rsidR="007A467C" w:rsidRPr="00A4582E">
        <w:t>)</w:t>
      </w:r>
      <w:r w:rsidR="009E798E" w:rsidRPr="00A4582E">
        <w:t xml:space="preserve">, and in close collaboration with </w:t>
      </w:r>
      <w:r w:rsidR="00810137" w:rsidRPr="00A4582E">
        <w:t>The Swedish Association of Local Authorities and Regions</w:t>
      </w:r>
      <w:r w:rsidR="00346A25" w:rsidRPr="00A4582E">
        <w:t xml:space="preserve"> (</w:t>
      </w:r>
      <w:proofErr w:type="spellStart"/>
      <w:r w:rsidR="00346A25" w:rsidRPr="00A4582E">
        <w:t>Sveriges</w:t>
      </w:r>
      <w:proofErr w:type="spellEnd"/>
      <w:r w:rsidR="00346A25" w:rsidRPr="00A4582E">
        <w:t xml:space="preserve"> </w:t>
      </w:r>
      <w:proofErr w:type="spellStart"/>
      <w:r w:rsidR="00346A25" w:rsidRPr="00A4582E">
        <w:t>Kommuner</w:t>
      </w:r>
      <w:proofErr w:type="spellEnd"/>
      <w:r w:rsidR="00346A25" w:rsidRPr="00A4582E">
        <w:t xml:space="preserve"> och </w:t>
      </w:r>
      <w:proofErr w:type="spellStart"/>
      <w:r w:rsidR="00346A25" w:rsidRPr="00A4582E">
        <w:t>Regioner</w:t>
      </w:r>
      <w:proofErr w:type="spellEnd"/>
      <w:r w:rsidR="00346A25" w:rsidRPr="00A4582E">
        <w:t>, SKR)</w:t>
      </w:r>
      <w:r w:rsidR="009E798E" w:rsidRPr="00A4582E">
        <w:t xml:space="preserve">, </w:t>
      </w:r>
      <w:r w:rsidR="00937868" w:rsidRPr="00A4582E">
        <w:t>German Association of Local Public Utilities</w:t>
      </w:r>
      <w:r w:rsidR="00F03D9F" w:rsidRPr="00A4582E">
        <w:t xml:space="preserve"> (</w:t>
      </w:r>
      <w:proofErr w:type="spellStart"/>
      <w:r w:rsidR="00F03D9F" w:rsidRPr="00A4582E">
        <w:t>Verband</w:t>
      </w:r>
      <w:proofErr w:type="spellEnd"/>
      <w:r w:rsidR="00F03D9F" w:rsidRPr="00A4582E">
        <w:t xml:space="preserve"> </w:t>
      </w:r>
      <w:proofErr w:type="spellStart"/>
      <w:r w:rsidR="00F03D9F" w:rsidRPr="00A4582E">
        <w:t>kommunaler</w:t>
      </w:r>
      <w:proofErr w:type="spellEnd"/>
      <w:r w:rsidR="00F03D9F" w:rsidRPr="00A4582E">
        <w:t xml:space="preserve"> </w:t>
      </w:r>
      <w:proofErr w:type="spellStart"/>
      <w:r w:rsidR="00F03D9F" w:rsidRPr="00A4582E">
        <w:t>Unternehmen</w:t>
      </w:r>
      <w:proofErr w:type="spellEnd"/>
      <w:r w:rsidR="00F03D9F" w:rsidRPr="00A4582E">
        <w:t xml:space="preserve"> </w:t>
      </w:r>
      <w:proofErr w:type="spellStart"/>
      <w:r w:rsidR="00F03D9F" w:rsidRPr="00A4582E">
        <w:t>e.V.</w:t>
      </w:r>
      <w:proofErr w:type="spellEnd"/>
      <w:r w:rsidR="00F03D9F" w:rsidRPr="00A4582E">
        <w:t>, VKU)</w:t>
      </w:r>
      <w:r w:rsidR="009E798E" w:rsidRPr="00A4582E">
        <w:t>, and</w:t>
      </w:r>
      <w:r w:rsidR="007E6CC5" w:rsidRPr="00A4582E">
        <w:t xml:space="preserve"> The Association of Public Services and Enterprises Austria</w:t>
      </w:r>
      <w:r w:rsidR="004303F4" w:rsidRPr="00A4582E">
        <w:t xml:space="preserve"> (</w:t>
      </w:r>
      <w:proofErr w:type="spellStart"/>
      <w:r w:rsidR="004303F4" w:rsidRPr="00A4582E">
        <w:t>Verband</w:t>
      </w:r>
      <w:proofErr w:type="spellEnd"/>
      <w:r w:rsidR="004303F4" w:rsidRPr="00A4582E">
        <w:t xml:space="preserve"> der </w:t>
      </w:r>
      <w:proofErr w:type="spellStart"/>
      <w:r w:rsidR="004303F4" w:rsidRPr="00A4582E">
        <w:t>öffentlichen</w:t>
      </w:r>
      <w:proofErr w:type="spellEnd"/>
      <w:r w:rsidR="004303F4" w:rsidRPr="00A4582E">
        <w:t xml:space="preserve"> </w:t>
      </w:r>
      <w:proofErr w:type="spellStart"/>
      <w:r w:rsidR="004303F4" w:rsidRPr="00A4582E">
        <w:t>Wirtschaft</w:t>
      </w:r>
      <w:proofErr w:type="spellEnd"/>
      <w:r w:rsidR="004303F4" w:rsidRPr="00A4582E">
        <w:t xml:space="preserve"> und </w:t>
      </w:r>
      <w:proofErr w:type="spellStart"/>
      <w:r w:rsidR="004303F4" w:rsidRPr="00A4582E">
        <w:t>Gemein­wirtschaft</w:t>
      </w:r>
      <w:proofErr w:type="spellEnd"/>
      <w:r w:rsidR="004303F4" w:rsidRPr="00A4582E">
        <w:t xml:space="preserve"> </w:t>
      </w:r>
      <w:proofErr w:type="spellStart"/>
      <w:r w:rsidR="004303F4" w:rsidRPr="00A4582E">
        <w:t>Österreichs</w:t>
      </w:r>
      <w:proofErr w:type="spellEnd"/>
      <w:r w:rsidR="004303F4" w:rsidRPr="00A4582E">
        <w:t>, VÖWG)</w:t>
      </w:r>
      <w:r w:rsidR="007E6CC5" w:rsidRPr="00A4582E">
        <w:t>.</w:t>
      </w:r>
    </w:p>
    <w:p w14:paraId="17D58C23" w14:textId="77777777" w:rsidR="001C0623" w:rsidRPr="00A4582E" w:rsidRDefault="001C0623" w:rsidP="00810137"/>
    <w:p w14:paraId="2A4936D7" w14:textId="482C58F0" w:rsidR="00EE7207" w:rsidRDefault="00EE7207" w:rsidP="00810137">
      <w:r w:rsidRPr="00A4582E">
        <w:t xml:space="preserve">Our conclusions are the result of our best professional judgment, based in part on publicly available data, materials and information provided by </w:t>
      </w:r>
      <w:r w:rsidR="007E6CC5" w:rsidRPr="00A4582E">
        <w:t xml:space="preserve">The Swedish Local </w:t>
      </w:r>
      <w:proofErr w:type="spellStart"/>
      <w:r w:rsidR="007E6CC5" w:rsidRPr="00A4582E">
        <w:t>Fibre</w:t>
      </w:r>
      <w:proofErr w:type="spellEnd"/>
      <w:r w:rsidR="007E6CC5" w:rsidRPr="00A4582E">
        <w:t xml:space="preserve"> Alliance</w:t>
      </w:r>
      <w:r w:rsidR="00900E4E" w:rsidRPr="00A4582E">
        <w:t>, The Swedish Association of Local Authorities and Regions, German Association of Local Public Utilities, and The Association of Public Services and Enterprises Austria</w:t>
      </w:r>
      <w:r w:rsidR="007E6CC5" w:rsidRPr="00A4582E">
        <w:t xml:space="preserve"> </w:t>
      </w:r>
      <w:r w:rsidRPr="00A4582E">
        <w:t>and other sources. Any third party using this report is solely responsible for any decisions or non-decisions based on its contents.</w:t>
      </w:r>
    </w:p>
    <w:p w14:paraId="37092B71" w14:textId="77777777" w:rsidR="0086214E" w:rsidRDefault="0086214E" w:rsidP="00810137"/>
    <w:p w14:paraId="6CE8126F" w14:textId="77777777" w:rsidR="0086214E" w:rsidRDefault="0086214E" w:rsidP="00810137"/>
    <w:p w14:paraId="1E771F8E" w14:textId="77777777" w:rsidR="0086214E" w:rsidRDefault="0086214E" w:rsidP="00810137"/>
    <w:p w14:paraId="0083D872" w14:textId="77777777" w:rsidR="0086214E" w:rsidRDefault="0086214E" w:rsidP="00810137"/>
    <w:p w14:paraId="458529D2" w14:textId="64D8888B" w:rsidR="0086214E" w:rsidRDefault="0086214E" w:rsidP="00810137">
      <w:r w:rsidRPr="00A4582E">
        <w:rPr>
          <w:b/>
          <w:bCs/>
          <w:noProof/>
          <w:sz w:val="20"/>
        </w:rPr>
        <mc:AlternateContent>
          <mc:Choice Requires="wps">
            <w:drawing>
              <wp:anchor distT="0" distB="0" distL="114300" distR="114300" simplePos="0" relativeHeight="251658241" behindDoc="0" locked="0" layoutInCell="1" allowOverlap="1" wp14:anchorId="4262431C" wp14:editId="61FB301C">
                <wp:simplePos x="0" y="0"/>
                <wp:positionH relativeFrom="margin">
                  <wp:align>right</wp:align>
                </wp:positionH>
                <wp:positionV relativeFrom="paragraph">
                  <wp:posOffset>76215</wp:posOffset>
                </wp:positionV>
                <wp:extent cx="6267450" cy="3048000"/>
                <wp:effectExtent l="0" t="0" r="19050" b="19050"/>
                <wp:wrapNone/>
                <wp:docPr id="1790676455" name="Rectangle: Rounded Corners 1"/>
                <wp:cNvGraphicFramePr/>
                <a:graphic xmlns:a="http://schemas.openxmlformats.org/drawingml/2006/main">
                  <a:graphicData uri="http://schemas.microsoft.com/office/word/2010/wordprocessingShape">
                    <wps:wsp>
                      <wps:cNvSpPr/>
                      <wps:spPr>
                        <a:xfrm>
                          <a:off x="0" y="0"/>
                          <a:ext cx="6267450" cy="3048000"/>
                        </a:xfrm>
                        <a:prstGeom prst="roundRect">
                          <a:avLst/>
                        </a:prstGeom>
                        <a:solidFill>
                          <a:schemeClr val="bg1"/>
                        </a:solidFill>
                        <a:ln>
                          <a:solidFill>
                            <a:srgbClr val="DB9A2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54B05" w14:textId="77777777" w:rsidR="00BC7F2A" w:rsidRPr="001D0EDC" w:rsidRDefault="00BC7F2A" w:rsidP="00BC7F2A">
                            <w:pPr>
                              <w:pStyle w:val="Heading2"/>
                              <w:rPr>
                                <w:color w:val="000000"/>
                              </w:rPr>
                            </w:pPr>
                            <w:r w:rsidRPr="001D0EDC">
                              <w:rPr>
                                <w:color w:val="000000"/>
                              </w:rPr>
                              <w:t>Glossary</w:t>
                            </w:r>
                          </w:p>
                          <w:p w14:paraId="735C0250" w14:textId="77777777" w:rsidR="00BC7F2A" w:rsidRDefault="00BC7F2A" w:rsidP="00BC7F2A">
                            <w:r w:rsidRPr="00E71175">
                              <w:rPr>
                                <w:b/>
                                <w:bCs/>
                              </w:rPr>
                              <w:t>Municipal Network</w:t>
                            </w:r>
                            <w:r w:rsidRPr="00E71175">
                              <w:t xml:space="preserve"> – Broadband infrastructure that is owned or governed by a municipality, regional utility, or cooperative. Municipal networks are typically operated on commercial terms and often apply open-access and wholesale principles to ensure competition and community benefit.</w:t>
                            </w:r>
                          </w:p>
                          <w:p w14:paraId="2BD1AEE0" w14:textId="77777777" w:rsidR="00BC7F2A" w:rsidRPr="00E71175" w:rsidRDefault="00BC7F2A" w:rsidP="00BC7F2A">
                            <w:r w:rsidRPr="00E71175">
                              <w:rPr>
                                <w:b/>
                                <w:bCs/>
                              </w:rPr>
                              <w:t>Wholesale</w:t>
                            </w:r>
                            <w:r w:rsidRPr="00E71175">
                              <w:t xml:space="preserve"> – The provision of network capacity by an infrastructure owner to retail service providers, who in turn deliver services to end users. Wholesale arrangements enable multiple providers to share a single network.</w:t>
                            </w:r>
                          </w:p>
                          <w:p w14:paraId="262E8BF0" w14:textId="77777777" w:rsidR="00BC7F2A" w:rsidRPr="00E71175" w:rsidRDefault="00BC7F2A" w:rsidP="00BC7F2A">
                            <w:r w:rsidRPr="00E71175">
                              <w:rPr>
                                <w:b/>
                                <w:bCs/>
                              </w:rPr>
                              <w:t>Open Access</w:t>
                            </w:r>
                            <w:r w:rsidRPr="00E71175">
                              <w:t xml:space="preserve"> – A governance principle requiring network owners to provide access to all service providers on equal, transparent, and non-discriminatory terms. Open access </w:t>
                            </w:r>
                            <w:r>
                              <w:t>enable</w:t>
                            </w:r>
                            <w:r w:rsidRPr="00E71175">
                              <w:t xml:space="preserve"> competition at the service level rather than through duplicative infrastructure.</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2431C" id="Rectangle: Rounded Corners 1" o:spid="_x0000_s1026" style="position:absolute;margin-left:442.3pt;margin-top:6pt;width:493.5pt;height:240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" fillcolor="white [3212]" strokecolor="#db9a2c" strokeweight="1pt">
                <v:stroke joinstyle="miter"/>
                <v:textbox inset="2mm,2mm,2mm,2mm">
                  <w:txbxContent>
                    <w:p w14:paraId="6E454B05" w14:textId="77777777" w:rsidR="00BC7F2A" w:rsidRPr="001D0EDC" w:rsidRDefault="00BC7F2A" w:rsidP="00BC7F2A">
                      <w:pPr>
                        <w:pStyle w:val="Heading2"/>
                        <w:rPr>
                          <w:color w:val="000000"/>
                        </w:rPr>
                      </w:pPr>
                      <w:r w:rsidRPr="001D0EDC">
                        <w:rPr>
                          <w:color w:val="000000"/>
                        </w:rPr>
                        <w:t>Glossary</w:t>
                      </w:r>
                    </w:p>
                    <w:p w14:paraId="735C0250" w14:textId="77777777" w:rsidR="00BC7F2A" w:rsidRDefault="00BC7F2A" w:rsidP="00BC7F2A">
                      <w:r w:rsidRPr="00E71175">
                        <w:rPr>
                          <w:b/>
                          <w:bCs/>
                        </w:rPr>
                        <w:t>Municipal Network</w:t>
                      </w:r>
                      <w:r w:rsidRPr="00E71175">
                        <w:t xml:space="preserve"> – Broadband infrastructure that is owned or governed by a municipality, regional utility, or cooperative. Municipal networks are typically operated on commercial terms and often apply open-access and wholesale principles to ensure competition and community benefit.</w:t>
                      </w:r>
                    </w:p>
                    <w:p w14:paraId="2BD1AEE0" w14:textId="77777777" w:rsidR="00BC7F2A" w:rsidRPr="00E71175" w:rsidRDefault="00BC7F2A" w:rsidP="00BC7F2A">
                      <w:r w:rsidRPr="00E71175">
                        <w:rPr>
                          <w:b/>
                          <w:bCs/>
                        </w:rPr>
                        <w:t>Wholesale</w:t>
                      </w:r>
                      <w:r w:rsidRPr="00E71175">
                        <w:t xml:space="preserve"> – The provision of network capacity by an infrastructure owner to retail service providers, who in turn deliver services to end users. Wholesale arrangements enable multiple providers to share a single network.</w:t>
                      </w:r>
                    </w:p>
                    <w:p w14:paraId="262E8BF0" w14:textId="77777777" w:rsidR="00BC7F2A" w:rsidRPr="00E71175" w:rsidRDefault="00BC7F2A" w:rsidP="00BC7F2A">
                      <w:r w:rsidRPr="00E71175">
                        <w:rPr>
                          <w:b/>
                          <w:bCs/>
                        </w:rPr>
                        <w:t>Open Access</w:t>
                      </w:r>
                      <w:r w:rsidRPr="00E71175">
                        <w:t xml:space="preserve"> – A governance principle requiring network owners to provide access to all service providers on equal, transparent, and non-discriminatory terms. Open access </w:t>
                      </w:r>
                      <w:r>
                        <w:t>enable</w:t>
                      </w:r>
                      <w:r w:rsidRPr="00E71175">
                        <w:t xml:space="preserve"> competition at the service level rather than through duplicative infrastructure.</w:t>
                      </w:r>
                    </w:p>
                  </w:txbxContent>
                </v:textbox>
                <w10:wrap anchorx="margin"/>
              </v:roundrect>
            </w:pict>
          </mc:Fallback>
        </mc:AlternateContent>
      </w:r>
    </w:p>
    <w:p w14:paraId="0C2F2763" w14:textId="34B78CFB" w:rsidR="0086214E" w:rsidRDefault="0086214E" w:rsidP="00810137"/>
    <w:p w14:paraId="02457BBF" w14:textId="0E09E0D8" w:rsidR="0086214E" w:rsidRDefault="0086214E" w:rsidP="00810137"/>
    <w:p w14:paraId="755A45B7" w14:textId="730ED872" w:rsidR="0086214E" w:rsidRDefault="0086214E" w:rsidP="00810137"/>
    <w:p w14:paraId="3A39F092" w14:textId="77777777" w:rsidR="0086214E" w:rsidRDefault="0086214E" w:rsidP="00810137"/>
    <w:p w14:paraId="2949CB9D" w14:textId="77777777" w:rsidR="0086214E" w:rsidRDefault="0086214E" w:rsidP="00810137"/>
    <w:p w14:paraId="36F09782" w14:textId="3564C932" w:rsidR="0086214E" w:rsidRDefault="0086214E" w:rsidP="00810137"/>
    <w:p w14:paraId="2ADF8F9A" w14:textId="3B1B6075" w:rsidR="0086214E" w:rsidRDefault="0086214E" w:rsidP="00810137"/>
    <w:p w14:paraId="33A5AF03" w14:textId="77777777" w:rsidR="0086214E" w:rsidRDefault="0086214E" w:rsidP="00810137"/>
    <w:p w14:paraId="563DBA29" w14:textId="77777777" w:rsidR="0086214E" w:rsidRDefault="0086214E" w:rsidP="00810137"/>
    <w:p w14:paraId="5415F0BD" w14:textId="201F6868" w:rsidR="0086214E" w:rsidRDefault="0086214E" w:rsidP="00810137"/>
    <w:p w14:paraId="611CBD18" w14:textId="77777777" w:rsidR="0086214E" w:rsidRDefault="0086214E" w:rsidP="00810137"/>
    <w:p w14:paraId="603A13E8" w14:textId="75FC6716" w:rsidR="0086214E" w:rsidRDefault="0086214E" w:rsidP="00810137"/>
    <w:p w14:paraId="28B3B973" w14:textId="77777777" w:rsidR="0086214E" w:rsidRDefault="0086214E" w:rsidP="00810137"/>
    <w:p w14:paraId="17A223EB" w14:textId="77777777" w:rsidR="0086214E" w:rsidRDefault="0086214E" w:rsidP="00810137"/>
    <w:p w14:paraId="797B3C39" w14:textId="77777777" w:rsidR="0086214E" w:rsidRDefault="0086214E" w:rsidP="00810137"/>
    <w:p w14:paraId="438D5169" w14:textId="77777777" w:rsidR="0086214E" w:rsidRDefault="0086214E" w:rsidP="00810137"/>
    <w:p w14:paraId="02209BF4" w14:textId="77777777" w:rsidR="0086214E" w:rsidRDefault="0086214E" w:rsidP="00810137"/>
    <w:p w14:paraId="2A3EDEC9" w14:textId="77777777" w:rsidR="0086214E" w:rsidRDefault="0086214E" w:rsidP="00810137"/>
    <w:p w14:paraId="47EC3AB8" w14:textId="77777777" w:rsidR="0086214E" w:rsidRPr="00A4582E" w:rsidRDefault="0086214E" w:rsidP="00810137"/>
    <w:p w14:paraId="0F439CC9" w14:textId="77777777" w:rsidR="001C0623" w:rsidRPr="00A4582E" w:rsidRDefault="001C0623" w:rsidP="00810137"/>
    <w:p w14:paraId="3DFEE23D" w14:textId="7400FC36" w:rsidR="0086214E" w:rsidRDefault="001C0623" w:rsidP="0086214E">
      <w:r w:rsidRPr="00A4582E">
        <w:t>Arthur D. Little has been commissioned to contribute to chapters 1–</w:t>
      </w:r>
      <w:r w:rsidR="00833A5D" w:rsidRPr="00A4582E">
        <w:t>5</w:t>
      </w:r>
      <w:r w:rsidR="008F677A" w:rsidRPr="00A4582E">
        <w:t xml:space="preserve">, </w:t>
      </w:r>
      <w:r w:rsidR="002E7EE8" w:rsidRPr="00A4582E">
        <w:t>together with</w:t>
      </w:r>
      <w:r w:rsidR="008F677A" w:rsidRPr="00A4582E">
        <w:t xml:space="preserve"> The Swedish Local </w:t>
      </w:r>
      <w:proofErr w:type="spellStart"/>
      <w:r w:rsidR="008F677A" w:rsidRPr="00A4582E">
        <w:t>Fibre</w:t>
      </w:r>
      <w:proofErr w:type="spellEnd"/>
      <w:r w:rsidR="008F677A" w:rsidRPr="00A4582E">
        <w:t xml:space="preserve"> Alliance</w:t>
      </w:r>
      <w:r w:rsidR="0068382B" w:rsidRPr="00A4582E">
        <w:t>, The Swedish Association of Local Authorities and Regions, German Association of Local Public Utilities, and The Association of Public Services and Enterprises Austria</w:t>
      </w:r>
      <w:r w:rsidR="00250168" w:rsidRPr="00A4582E">
        <w:t xml:space="preserve">. </w:t>
      </w:r>
      <w:r w:rsidR="0051206B" w:rsidRPr="00A4582E">
        <w:t xml:space="preserve">Executive summary and Chapter </w:t>
      </w:r>
      <w:r w:rsidR="00833A5D" w:rsidRPr="00A4582E">
        <w:t>6</w:t>
      </w:r>
      <w:r w:rsidR="0051206B" w:rsidRPr="00A4582E">
        <w:t xml:space="preserve"> on Recommendations and Policy implications has been written</w:t>
      </w:r>
      <w:r w:rsidR="004618C8" w:rsidRPr="00A4582E">
        <w:t xml:space="preserve"> </w:t>
      </w:r>
      <w:r w:rsidR="0051206B" w:rsidRPr="00A4582E">
        <w:t xml:space="preserve">by The Swedish Local </w:t>
      </w:r>
      <w:proofErr w:type="spellStart"/>
      <w:r w:rsidR="0051206B" w:rsidRPr="00A4582E">
        <w:t>Fibre</w:t>
      </w:r>
      <w:proofErr w:type="spellEnd"/>
      <w:r w:rsidR="0051206B" w:rsidRPr="00A4582E">
        <w:t xml:space="preserve"> Alliance</w:t>
      </w:r>
      <w:r w:rsidR="00353347" w:rsidRPr="00A4582E">
        <w:t>, The Swedish Association of Local Authorities</w:t>
      </w:r>
      <w:r w:rsidR="0051206B" w:rsidRPr="00A4582E">
        <w:t xml:space="preserve"> and </w:t>
      </w:r>
      <w:r w:rsidR="00353347" w:rsidRPr="00A4582E">
        <w:t>Regions, German Association of Local Public Utilities, and The Association of Public Services and Enterprises Austria</w:t>
      </w:r>
      <w:r w:rsidR="004618C8" w:rsidRPr="00A4582E">
        <w:t>.</w:t>
      </w:r>
    </w:p>
    <w:p w14:paraId="2E05262E" w14:textId="59228748" w:rsidR="0086214E" w:rsidRDefault="0086214E">
      <w:pPr>
        <w:spacing w:line="240" w:lineRule="auto"/>
      </w:pPr>
      <w:r>
        <w:br w:type="page"/>
      </w:r>
    </w:p>
    <w:p w14:paraId="6DE15183" w14:textId="3EE965A9" w:rsidR="00D22647" w:rsidRDefault="00EA75F3" w:rsidP="00EF57D9">
      <w:pPr>
        <w:pStyle w:val="Heading2"/>
      </w:pPr>
      <w:r w:rsidRPr="00A4582E">
        <w:lastRenderedPageBreak/>
        <w:t>EXECUTIVE SUMMARY</w:t>
      </w:r>
    </w:p>
    <w:p w14:paraId="7AD3D7ED" w14:textId="77777777" w:rsidR="00EA74DC" w:rsidRPr="00EF736E" w:rsidRDefault="00EA74DC" w:rsidP="00EF736E">
      <w:pPr>
        <w:rPr>
          <w:b/>
        </w:rPr>
      </w:pPr>
      <w:r w:rsidRPr="00EF736E">
        <w:rPr>
          <w:b/>
        </w:rPr>
        <w:t>A Structural Asset for Europe’s Digital Future</w:t>
      </w:r>
    </w:p>
    <w:p w14:paraId="6C3457C0" w14:textId="43CF2359" w:rsidR="00EF736E" w:rsidRDefault="00EA74DC" w:rsidP="00EF736E">
      <w:r>
        <w:t>High-capacity broadband infrastructure is foundational to Europe’s competitiveness, social cohesion and strategic autonomy. Fibe</w:t>
      </w:r>
      <w:r w:rsidR="00AE7652">
        <w:t>r</w:t>
      </w:r>
      <w:r>
        <w:t xml:space="preserve"> networks underpin essential sectors including healthcare, education, energy systems, transport, public administration and industrial </w:t>
      </w:r>
      <w:r w:rsidR="00AE7652">
        <w:t>digitalization</w:t>
      </w:r>
      <w:r>
        <w:t>. As the European Union advances toward its Digital Decade 2030 targets and considers new regulatory initiatives, the structure of Europe’s telecom ecosystem will play an important role in shaping long-term deployment, competition and resilience.</w:t>
      </w:r>
    </w:p>
    <w:p w14:paraId="2F17642D" w14:textId="77777777" w:rsidR="00EF736E" w:rsidRDefault="00EF736E" w:rsidP="00EF736E"/>
    <w:p w14:paraId="48DB0CDE" w14:textId="6C3C3AC9" w:rsidR="00EA74DC" w:rsidRDefault="00EA74DC" w:rsidP="00F45FD5">
      <w:r>
        <w:t>This report examines the role of municipal and regionally anchored broadband networks in Europe, with a focus on Sweden, Germany and Austria. It analyses how these actors contribute to network deployment, service-level competition and digital resilience within a broader ecosystem</w:t>
      </w:r>
      <w:r w:rsidR="00125614">
        <w:t>.</w:t>
      </w:r>
      <w:r w:rsidR="00F45FD5">
        <w:t xml:space="preserve"> </w:t>
      </w:r>
      <w:r>
        <w:t xml:space="preserve">The findings show that locally anchored network owners function as structural complements within European telecom markets. In several Member States, they have contributed meaningfully to accelerating </w:t>
      </w:r>
      <w:r w:rsidR="00125614">
        <w:t>fiber</w:t>
      </w:r>
      <w:r>
        <w:t xml:space="preserve"> rollout, expanding retail competition and strengthening long-term infrastructure stewardship.</w:t>
      </w:r>
    </w:p>
    <w:p w14:paraId="16896F2D" w14:textId="77777777" w:rsidR="00EA74DC" w:rsidRDefault="00EA74DC" w:rsidP="00EA74DC"/>
    <w:p w14:paraId="317AD29D" w14:textId="77777777" w:rsidR="00EA74DC" w:rsidRPr="00EF736E" w:rsidRDefault="00EA74DC" w:rsidP="00EA74DC">
      <w:pPr>
        <w:rPr>
          <w:b/>
          <w:bCs/>
        </w:rPr>
      </w:pPr>
      <w:r w:rsidRPr="00EF736E">
        <w:rPr>
          <w:b/>
          <w:bCs/>
        </w:rPr>
        <w:t>Accelerating Deployment and Closing Coverage Gaps</w:t>
      </w:r>
    </w:p>
    <w:p w14:paraId="38793721" w14:textId="3D89C491" w:rsidR="00EA74DC" w:rsidRDefault="00EA74DC" w:rsidP="00F45FD5">
      <w:r>
        <w:t xml:space="preserve">Despite significant progress in </w:t>
      </w:r>
      <w:r w:rsidR="00395643">
        <w:t>fiber</w:t>
      </w:r>
      <w:r>
        <w:t xml:space="preserve"> deployment, geographic disparities remain across Europe, particularly in rural and semi-rural areas where investment conditions are more complex. Fibe</w:t>
      </w:r>
      <w:r w:rsidR="00395643">
        <w:t>r</w:t>
      </w:r>
      <w:r>
        <w:t xml:space="preserve"> rollout is capital-intensive, with civil works representing a large share of total costs and long investment horizons often required.</w:t>
      </w:r>
      <w:r w:rsidR="00F45FD5">
        <w:t xml:space="preserve"> </w:t>
      </w:r>
      <w:r>
        <w:t>Municipal and utility-based network owners contribute in three structural ways:</w:t>
      </w:r>
    </w:p>
    <w:p w14:paraId="7389794E" w14:textId="5128DB5D" w:rsidR="00EA74DC" w:rsidRDefault="00EA74DC" w:rsidP="00B17F3C">
      <w:pPr>
        <w:numPr>
          <w:ilvl w:val="0"/>
          <w:numId w:val="17"/>
        </w:numPr>
      </w:pPr>
      <w:r w:rsidRPr="00B17F3C">
        <w:rPr>
          <w:b/>
          <w:bCs/>
        </w:rPr>
        <w:t>Long-term investment horizons</w:t>
      </w:r>
      <w:r>
        <w:t>, aligned with infrastructure life cycles.</w:t>
      </w:r>
    </w:p>
    <w:p w14:paraId="16D24FA9" w14:textId="5DDBEC84" w:rsidR="00EA74DC" w:rsidRDefault="00EA74DC" w:rsidP="00B17F3C">
      <w:pPr>
        <w:numPr>
          <w:ilvl w:val="0"/>
          <w:numId w:val="17"/>
        </w:numPr>
      </w:pPr>
      <w:r w:rsidRPr="00D22647">
        <w:rPr>
          <w:b/>
          <w:bCs/>
        </w:rPr>
        <w:t>Coordination with other infrastructure projects</w:t>
      </w:r>
      <w:r>
        <w:t xml:space="preserve"> (energy, district heating, water and roads), enabling cost efficiencies in civil works.</w:t>
      </w:r>
    </w:p>
    <w:p w14:paraId="419400CC" w14:textId="3D80902D" w:rsidR="00EA74DC" w:rsidRDefault="00EA74DC" w:rsidP="00F45FD5">
      <w:pPr>
        <w:numPr>
          <w:ilvl w:val="0"/>
          <w:numId w:val="17"/>
        </w:numPr>
      </w:pPr>
      <w:r w:rsidRPr="00D22647">
        <w:rPr>
          <w:b/>
          <w:bCs/>
        </w:rPr>
        <w:t>Local planning integration</w:t>
      </w:r>
      <w:r>
        <w:t>, facilitating permitting processes and targeted deployment in underserved areas.</w:t>
      </w:r>
    </w:p>
    <w:p w14:paraId="7EA163FE" w14:textId="77777777" w:rsidR="00F45FD5" w:rsidRDefault="00F45FD5" w:rsidP="00F45FD5"/>
    <w:p w14:paraId="2F40819A" w14:textId="35BE2698" w:rsidR="00EA74DC" w:rsidRDefault="00EA74DC" w:rsidP="00D22647">
      <w:r>
        <w:t>Country experience illustrates these dynamics:</w:t>
      </w:r>
    </w:p>
    <w:p w14:paraId="43E69717" w14:textId="449429D1" w:rsidR="00EA74DC" w:rsidRDefault="00EA74DC" w:rsidP="00D22647">
      <w:pPr>
        <w:numPr>
          <w:ilvl w:val="0"/>
          <w:numId w:val="17"/>
        </w:numPr>
      </w:pPr>
      <w:r w:rsidRPr="00D22647">
        <w:rPr>
          <w:b/>
          <w:bCs/>
        </w:rPr>
        <w:t>Sweden</w:t>
      </w:r>
      <w:r>
        <w:t xml:space="preserve"> has achieved near-universal </w:t>
      </w:r>
      <w:r w:rsidR="00FD3DEA">
        <w:t>fiber</w:t>
      </w:r>
      <w:r>
        <w:t xml:space="preserve"> availability, with municipal networks active in a majority of municipalities and accounting for roughly half of national </w:t>
      </w:r>
      <w:r w:rsidR="00FD3DEA">
        <w:t>fiber</w:t>
      </w:r>
      <w:r>
        <w:t xml:space="preserve"> infrastructure.</w:t>
      </w:r>
    </w:p>
    <w:p w14:paraId="0FBE92A3" w14:textId="280F4FED" w:rsidR="00EA74DC" w:rsidRDefault="00EA74DC" w:rsidP="00D22647">
      <w:pPr>
        <w:numPr>
          <w:ilvl w:val="0"/>
          <w:numId w:val="17"/>
        </w:numPr>
      </w:pPr>
      <w:r w:rsidRPr="00D22647">
        <w:rPr>
          <w:b/>
          <w:bCs/>
        </w:rPr>
        <w:t>Germany</w:t>
      </w:r>
      <w:r>
        <w:t xml:space="preserve"> has seen increasing engagement from municipal utilities and regional actors, particularly in rural expansion and co-investment arrangements.</w:t>
      </w:r>
    </w:p>
    <w:p w14:paraId="1D0C2141" w14:textId="77777777" w:rsidR="00EA74DC" w:rsidRDefault="00EA74DC" w:rsidP="00D22647">
      <w:pPr>
        <w:numPr>
          <w:ilvl w:val="0"/>
          <w:numId w:val="17"/>
        </w:numPr>
      </w:pPr>
      <w:r w:rsidRPr="00D22647">
        <w:rPr>
          <w:b/>
          <w:bCs/>
        </w:rPr>
        <w:t>Austria</w:t>
      </w:r>
      <w:r>
        <w:t xml:space="preserve"> combines federal funding with regionally coordinated open-access wholesale platforms to extend high-capacity connectivity to smaller municipalities.</w:t>
      </w:r>
    </w:p>
    <w:p w14:paraId="756478A2" w14:textId="77777777" w:rsidR="00EA74DC" w:rsidRDefault="00EA74DC" w:rsidP="00EA74DC"/>
    <w:p w14:paraId="2A74CFD8" w14:textId="3F10BCD6" w:rsidR="00EA74DC" w:rsidRDefault="00EA74DC" w:rsidP="00EA74DC">
      <w:r>
        <w:t>Together, these models broaden the investment base and support rollout in areas where deployment would progress more slowly.</w:t>
      </w:r>
    </w:p>
    <w:p w14:paraId="5E566802" w14:textId="77777777" w:rsidR="00EA74DC" w:rsidRDefault="00EA74DC" w:rsidP="00EA74DC"/>
    <w:p w14:paraId="33E10D10" w14:textId="77777777" w:rsidR="00EA74DC" w:rsidRPr="00D22647" w:rsidRDefault="00EA74DC" w:rsidP="00EA74DC">
      <w:pPr>
        <w:rPr>
          <w:b/>
          <w:bCs/>
        </w:rPr>
      </w:pPr>
      <w:r w:rsidRPr="00D22647">
        <w:rPr>
          <w:b/>
          <w:bCs/>
        </w:rPr>
        <w:t>Strengthening Competition Through Open-Access Wholesale Models</w:t>
      </w:r>
    </w:p>
    <w:p w14:paraId="25EDAC2B" w14:textId="72C709B4" w:rsidR="00EA74DC" w:rsidRDefault="00EA74DC" w:rsidP="00F45FD5">
      <w:r>
        <w:t>A common feature of many municipal networks is the open-access wholesale model. Under this structure, infrastructure is made available to multiple service providers on equal, transparent and non-discriminatory terms.</w:t>
      </w:r>
      <w:r w:rsidR="00F45FD5">
        <w:t xml:space="preserve"> </w:t>
      </w:r>
      <w:r>
        <w:t>This model contributes to:</w:t>
      </w:r>
    </w:p>
    <w:p w14:paraId="5C6E6A01" w14:textId="5CE90A25" w:rsidR="00EA74DC" w:rsidRPr="00D22647" w:rsidRDefault="00EA74DC" w:rsidP="00D22647">
      <w:pPr>
        <w:numPr>
          <w:ilvl w:val="0"/>
          <w:numId w:val="17"/>
        </w:numPr>
      </w:pPr>
      <w:r w:rsidRPr="00D22647">
        <w:t>Lower barriers to entry for service providers</w:t>
      </w:r>
    </w:p>
    <w:p w14:paraId="0905FEF9" w14:textId="40683C05" w:rsidR="00EA74DC" w:rsidRPr="00D22647" w:rsidRDefault="00EA74DC" w:rsidP="00D22647">
      <w:pPr>
        <w:numPr>
          <w:ilvl w:val="0"/>
          <w:numId w:val="17"/>
        </w:numPr>
      </w:pPr>
      <w:r w:rsidRPr="00D22647">
        <w:t>Retail competition and consumer choice</w:t>
      </w:r>
    </w:p>
    <w:p w14:paraId="6CDD096F" w14:textId="1F12BFC0" w:rsidR="00EA74DC" w:rsidRPr="00D22647" w:rsidRDefault="00EA74DC" w:rsidP="00D22647">
      <w:pPr>
        <w:numPr>
          <w:ilvl w:val="0"/>
          <w:numId w:val="17"/>
        </w:numPr>
      </w:pPr>
      <w:r w:rsidRPr="00D22647">
        <w:t xml:space="preserve">High infrastructure </w:t>
      </w:r>
      <w:r w:rsidR="00E303D3" w:rsidRPr="00D22647">
        <w:t>utilization</w:t>
      </w:r>
    </w:p>
    <w:p w14:paraId="76BFD82A" w14:textId="77777777" w:rsidR="00EA74DC" w:rsidRPr="00D22647" w:rsidRDefault="00EA74DC" w:rsidP="00D22647">
      <w:pPr>
        <w:numPr>
          <w:ilvl w:val="0"/>
          <w:numId w:val="17"/>
        </w:numPr>
      </w:pPr>
      <w:r w:rsidRPr="00D22647">
        <w:t>Efficient use of physical network assets</w:t>
      </w:r>
    </w:p>
    <w:p w14:paraId="38D4B261" w14:textId="77777777" w:rsidR="00EA74DC" w:rsidRDefault="00EA74DC" w:rsidP="00EA74DC"/>
    <w:p w14:paraId="15A3B1D2" w14:textId="75BA7210" w:rsidR="00EA74DC" w:rsidRDefault="00EA74DC" w:rsidP="00F45FD5">
      <w:r>
        <w:t xml:space="preserve">Sweden represents the most mature example, where open-access municipal networks, including the wholesale model pioneered by </w:t>
      </w:r>
      <w:proofErr w:type="spellStart"/>
      <w:r>
        <w:t>Stokab</w:t>
      </w:r>
      <w:proofErr w:type="spellEnd"/>
      <w:r>
        <w:t xml:space="preserve"> in Stockholm, have enabled a large number of service providers to operate on shared infrastructure.</w:t>
      </w:r>
      <w:r w:rsidR="00D82C3A">
        <w:t xml:space="preserve"> </w:t>
      </w:r>
      <w:r>
        <w:t xml:space="preserve">Austria requires publicly funded </w:t>
      </w:r>
      <w:r w:rsidR="00D82C3A">
        <w:t>fiber</w:t>
      </w:r>
      <w:r>
        <w:t xml:space="preserve"> networks under </w:t>
      </w:r>
      <w:proofErr w:type="spellStart"/>
      <w:r>
        <w:t>Breitband</w:t>
      </w:r>
      <w:proofErr w:type="spellEnd"/>
      <w:r>
        <w:t xml:space="preserve"> Austria 2030 to operate on an open-access basis. In Germany, co-investment and reciprocal access arrangements between municipal utilities and private operators illustrate how wholesale-based models can function alongside commercial market structures.</w:t>
      </w:r>
      <w:r w:rsidR="00F45FD5">
        <w:t xml:space="preserve"> </w:t>
      </w:r>
      <w:r>
        <w:t>These approaches demonstrate that open-access wholesale frameworks can coexist with private investment, supporting competitive retail markets while maintaining efficient infrastructure deployment.</w:t>
      </w:r>
    </w:p>
    <w:p w14:paraId="43E9885A" w14:textId="77777777" w:rsidR="00EA74DC" w:rsidRDefault="00EA74DC" w:rsidP="00EA74DC"/>
    <w:p w14:paraId="7120ADF9" w14:textId="77777777" w:rsidR="00EA74DC" w:rsidRPr="00D22647" w:rsidRDefault="00EA74DC" w:rsidP="00EA74DC">
      <w:pPr>
        <w:rPr>
          <w:b/>
          <w:bCs/>
        </w:rPr>
      </w:pPr>
      <w:r w:rsidRPr="00D22647">
        <w:rPr>
          <w:b/>
          <w:bCs/>
        </w:rPr>
        <w:t>Enhancing Digital Resilience and Long-Term Sustainability</w:t>
      </w:r>
    </w:p>
    <w:p w14:paraId="71BB83B7" w14:textId="3FF2FC54" w:rsidR="00EA74DC" w:rsidRPr="00D22647" w:rsidRDefault="00EA74DC" w:rsidP="00F45FD5">
      <w:r>
        <w:t>Europe’s connectivity agenda is increasingly focused on reliability, resilience and digital sovereignty. Fi</w:t>
      </w:r>
      <w:r w:rsidR="001977ED">
        <w:t>b</w:t>
      </w:r>
      <w:r>
        <w:t>e</w:t>
      </w:r>
      <w:r w:rsidR="00EF57D9">
        <w:t>r</w:t>
      </w:r>
      <w:r>
        <w:t xml:space="preserve"> networks now support critical public functions and are subject to strengthened security and operational requirements under frameworks such as NIS2 and the European Electronic </w:t>
      </w:r>
      <w:r>
        <w:lastRenderedPageBreak/>
        <w:t>Communications Code.</w:t>
      </w:r>
      <w:r w:rsidR="00F45FD5">
        <w:t xml:space="preserve"> </w:t>
      </w:r>
      <w:r>
        <w:t>Locally anchored network owners contribute to resilience through:</w:t>
      </w:r>
    </w:p>
    <w:p w14:paraId="6DCA109E" w14:textId="52C029A6" w:rsidR="00EA74DC" w:rsidRPr="00D22647" w:rsidRDefault="00EA74DC" w:rsidP="00D22647">
      <w:pPr>
        <w:numPr>
          <w:ilvl w:val="0"/>
          <w:numId w:val="17"/>
        </w:numPr>
      </w:pPr>
      <w:r w:rsidRPr="00D22647">
        <w:rPr>
          <w:b/>
          <w:bCs/>
        </w:rPr>
        <w:t>Integration with multi-utility infrastructure</w:t>
      </w:r>
      <w:r w:rsidRPr="00D22647">
        <w:t>, enabling route diversity and coordinated incident management.</w:t>
      </w:r>
    </w:p>
    <w:p w14:paraId="38764752" w14:textId="3FBF1763" w:rsidR="00EA74DC" w:rsidRPr="00D22647" w:rsidRDefault="00EA74DC" w:rsidP="00D22647">
      <w:pPr>
        <w:numPr>
          <w:ilvl w:val="0"/>
          <w:numId w:val="17"/>
        </w:numPr>
      </w:pPr>
      <w:r w:rsidRPr="00D22647">
        <w:rPr>
          <w:b/>
          <w:bCs/>
        </w:rPr>
        <w:t>Proximity to communities and public institutions</w:t>
      </w:r>
      <w:r w:rsidRPr="00D22647">
        <w:t>, supporting rapid fault resolution and local coordination.</w:t>
      </w:r>
    </w:p>
    <w:p w14:paraId="2C9ADBBF" w14:textId="77777777" w:rsidR="00EA74DC" w:rsidRPr="00D22647" w:rsidRDefault="00EA74DC" w:rsidP="00D22647">
      <w:pPr>
        <w:numPr>
          <w:ilvl w:val="0"/>
          <w:numId w:val="17"/>
        </w:numPr>
      </w:pPr>
      <w:r w:rsidRPr="00D22647">
        <w:rPr>
          <w:b/>
          <w:bCs/>
        </w:rPr>
        <w:t>Long-term stewardship models</w:t>
      </w:r>
      <w:r w:rsidRPr="00D22647">
        <w:t>, where revenues are reinvested in maintenance, redundancy and network upgrades.</w:t>
      </w:r>
    </w:p>
    <w:p w14:paraId="4BED08C0" w14:textId="77777777" w:rsidR="00EA74DC" w:rsidRPr="00D22647" w:rsidRDefault="00EA74DC" w:rsidP="00EA74DC"/>
    <w:p w14:paraId="3B3B959C" w14:textId="0F07D4AB" w:rsidR="00480820" w:rsidRDefault="00EA74DC" w:rsidP="00F45FD5">
      <w:r>
        <w:t xml:space="preserve">Examples from Sweden, Germany and Austria show how municipal and regional operators integrate </w:t>
      </w:r>
      <w:r w:rsidR="00EF57D9">
        <w:t>fiber</w:t>
      </w:r>
      <w:r>
        <w:t xml:space="preserve"> infrastructure into broader emergency planning and smart-city development strategies.</w:t>
      </w:r>
      <w:r w:rsidR="00F45FD5">
        <w:t xml:space="preserve"> </w:t>
      </w:r>
      <w:r>
        <w:t xml:space="preserve">Resilience in this context is both technical and </w:t>
      </w:r>
      <w:r w:rsidR="00480820">
        <w:t>organizational</w:t>
      </w:r>
      <w:r>
        <w:t>. A structurally diverse ecosystem</w:t>
      </w:r>
      <w:r w:rsidR="006D6F5B">
        <w:t xml:space="preserve">, </w:t>
      </w:r>
      <w:r>
        <w:t>comprising national operators, private investors and locally anchored networks</w:t>
      </w:r>
      <w:r w:rsidR="006D6F5B">
        <w:t xml:space="preserve">, </w:t>
      </w:r>
      <w:r>
        <w:t>strengthens redundancy and supports continuity across Europe’s digital infrastructure landscape.</w:t>
      </w:r>
    </w:p>
    <w:p w14:paraId="5741E0A3" w14:textId="77777777" w:rsidR="006D6F5B" w:rsidRDefault="006D6F5B" w:rsidP="00480820"/>
    <w:p w14:paraId="7D6FB6C4" w14:textId="77777777" w:rsidR="006D6F5B" w:rsidRPr="00343564" w:rsidRDefault="006D6F5B" w:rsidP="006D6F5B">
      <w:r w:rsidRPr="00343564">
        <w:rPr>
          <w:b/>
        </w:rPr>
        <w:t>Policy Implications: A Structural Choice for Europe</w:t>
      </w:r>
    </w:p>
    <w:p w14:paraId="41C383ED" w14:textId="77777777" w:rsidR="006D6F5B" w:rsidRPr="00A4582E" w:rsidRDefault="006D6F5B" w:rsidP="006D6F5B">
      <w:r w:rsidRPr="00A4582E">
        <w:t>The findings of this report lead to a clear conclusion: Europe’s telecom policy should safeguard and leverage structural diversity rather than move toward consolidation-driven approaches.</w:t>
      </w:r>
    </w:p>
    <w:p w14:paraId="04A8E55B" w14:textId="77777777" w:rsidR="006D6F5B" w:rsidRPr="00A4582E" w:rsidRDefault="006D6F5B" w:rsidP="006D6F5B"/>
    <w:p w14:paraId="5E7387C2" w14:textId="77777777" w:rsidR="006D6F5B" w:rsidRPr="00A4582E" w:rsidRDefault="006D6F5B" w:rsidP="006D6F5B">
      <w:r w:rsidRPr="00A4582E">
        <w:t>Key policy directions include:</w:t>
      </w:r>
    </w:p>
    <w:p w14:paraId="112C040E" w14:textId="77777777" w:rsidR="006D6F5B" w:rsidRPr="00A4582E" w:rsidRDefault="006D6F5B" w:rsidP="006D6F5B">
      <w:pPr>
        <w:numPr>
          <w:ilvl w:val="0"/>
          <w:numId w:val="17"/>
        </w:numPr>
      </w:pPr>
      <w:r w:rsidRPr="00A4582E">
        <w:t>Preserving diversified ownership structures, including municipal and regional networks, as a competitive asset.</w:t>
      </w:r>
    </w:p>
    <w:p w14:paraId="60A45A1C" w14:textId="77777777" w:rsidR="006D6F5B" w:rsidRPr="00A4582E" w:rsidRDefault="006D6F5B" w:rsidP="006D6F5B">
      <w:pPr>
        <w:numPr>
          <w:ilvl w:val="0"/>
          <w:numId w:val="17"/>
        </w:numPr>
      </w:pPr>
      <w:r w:rsidRPr="00A4582E">
        <w:t>Strengthening open-access and wholesale-based competition, ensuring transparent and non-discriminatory access frameworks.</w:t>
      </w:r>
    </w:p>
    <w:p w14:paraId="1C21D9E3" w14:textId="77777777" w:rsidR="006D6F5B" w:rsidRPr="00A4582E" w:rsidRDefault="006D6F5B" w:rsidP="006D6F5B">
      <w:pPr>
        <w:numPr>
          <w:ilvl w:val="0"/>
          <w:numId w:val="17"/>
        </w:numPr>
      </w:pPr>
      <w:r w:rsidRPr="00A4582E">
        <w:t>Ensuring fair migration from copper to fiber, with safeguards against foreclosure risks.</w:t>
      </w:r>
    </w:p>
    <w:p w14:paraId="59B09AA7" w14:textId="6111BF06" w:rsidR="006D6F5B" w:rsidRPr="00A4582E" w:rsidRDefault="006D6F5B" w:rsidP="006D6F5B">
      <w:pPr>
        <w:numPr>
          <w:ilvl w:val="0"/>
          <w:numId w:val="17"/>
        </w:numPr>
      </w:pPr>
      <w:r w:rsidRPr="00A4582E">
        <w:t>Maintaining stable public funding frameworks, accessible to smaller and publicly anchored operators.</w:t>
      </w:r>
    </w:p>
    <w:p w14:paraId="6729D38E" w14:textId="77777777" w:rsidR="006D6F5B" w:rsidRPr="00A4582E" w:rsidRDefault="006D6F5B" w:rsidP="006D6F5B">
      <w:pPr>
        <w:numPr>
          <w:ilvl w:val="0"/>
          <w:numId w:val="17"/>
        </w:numPr>
      </w:pPr>
      <w:r w:rsidRPr="00A4582E">
        <w:t>Recognizing resilience and operational continuity as core regulatory objectives, linked to governance and market structure.</w:t>
      </w:r>
    </w:p>
    <w:p w14:paraId="4AA5D516" w14:textId="77777777" w:rsidR="006D6F5B" w:rsidRPr="00A4582E" w:rsidRDefault="006D6F5B" w:rsidP="006D6F5B"/>
    <w:p w14:paraId="56EC996A" w14:textId="77777777" w:rsidR="006D6F5B" w:rsidRDefault="006D6F5B" w:rsidP="006D6F5B">
      <w:r w:rsidRPr="00A4582E">
        <w:t>The most advanced fiber markets in Europe are characterized not by concentration, but by multiple infrastructure owners, effective wholesale frameworks and competitive service layers. There is limited empirical evidence that structural consolidation alone delivers superior outcomes in fiber markets in terms of deployment, innovation or consumer welfare.</w:t>
      </w:r>
    </w:p>
    <w:p w14:paraId="4DC64AFA" w14:textId="77777777" w:rsidR="006D6F5B" w:rsidRDefault="006D6F5B" w:rsidP="006D6F5B"/>
    <w:p w14:paraId="4B373FFF" w14:textId="77777777" w:rsidR="006D6F5B" w:rsidRPr="00A4582E" w:rsidRDefault="006D6F5B" w:rsidP="006D6F5B">
      <w:r w:rsidRPr="00343564">
        <w:rPr>
          <w:b/>
        </w:rPr>
        <w:t>Conclusion</w:t>
      </w:r>
    </w:p>
    <w:p w14:paraId="219EF80C" w14:textId="77777777" w:rsidR="006D6F5B" w:rsidRPr="00A4582E" w:rsidRDefault="006D6F5B" w:rsidP="006D6F5B">
      <w:r w:rsidRPr="00A4582E">
        <w:t>Municipal and regionally anchored broadband networks have proven to be effective instruments for accelerating fiber rollout, enabling service-level competition and strengthening digital resilience. They are not substitutes for national or private operators, but complementary pillars within a balanced telecom ecosystem.</w:t>
      </w:r>
    </w:p>
    <w:p w14:paraId="6A9EB91A" w14:textId="77777777" w:rsidR="006D6F5B" w:rsidRPr="00A4582E" w:rsidRDefault="006D6F5B" w:rsidP="006D6F5B"/>
    <w:p w14:paraId="663004FE" w14:textId="77777777" w:rsidR="006D6F5B" w:rsidRPr="00A4582E" w:rsidRDefault="006D6F5B" w:rsidP="006D6F5B">
      <w:r w:rsidRPr="00A4582E">
        <w:t>As Europe enters a new regulatory phase, the question is not whether local actors should replace existing market structures. The question is whether EU policy will preserve and build upon a diversified, competitive and resilient ecosystem</w:t>
      </w:r>
      <w:r>
        <w:t xml:space="preserve">, </w:t>
      </w:r>
      <w:r w:rsidRPr="00A4582E">
        <w:t>or risk narrowing it.</w:t>
      </w:r>
    </w:p>
    <w:p w14:paraId="5B3C695A" w14:textId="77777777" w:rsidR="006D6F5B" w:rsidRPr="00A4582E" w:rsidRDefault="006D6F5B" w:rsidP="006D6F5B"/>
    <w:p w14:paraId="44A15CBE" w14:textId="37A27CCF" w:rsidR="006D6F5B" w:rsidRDefault="006D6F5B" w:rsidP="006D6F5B">
      <w:r w:rsidRPr="00A4582E">
        <w:t>The infrastructure deployed today will shape Europe’s digital society for generations. Ensuring that this infrastructure rests on open, competitive and structurally diverse foundations is not only compatible with Europe’s digital ambitions</w:t>
      </w:r>
      <w:r>
        <w:t xml:space="preserve">, </w:t>
      </w:r>
      <w:r w:rsidRPr="00A4582E">
        <w:t>it is a prerequisite for achieving them.</w:t>
      </w:r>
    </w:p>
    <w:p w14:paraId="26226660" w14:textId="1EB5E3D4" w:rsidR="00240702" w:rsidRPr="00A4582E" w:rsidRDefault="0086214E" w:rsidP="00480820">
      <w:pPr>
        <w:spacing w:line="240" w:lineRule="auto"/>
        <w:sectPr w:rsidR="00240702" w:rsidRPr="00A4582E" w:rsidSect="00576437">
          <w:headerReference w:type="even" r:id="rId17"/>
          <w:headerReference w:type="default" r:id="rId18"/>
          <w:footerReference w:type="default" r:id="rId19"/>
          <w:endnotePr>
            <w:numFmt w:val="decimal"/>
          </w:endnotePr>
          <w:type w:val="continuous"/>
          <w:pgSz w:w="11909" w:h="16834" w:code="9"/>
          <w:pgMar w:top="1701" w:right="851" w:bottom="851" w:left="851" w:header="851" w:footer="284" w:gutter="284"/>
          <w:cols w:num="2" w:space="720"/>
        </w:sectPr>
      </w:pPr>
      <w:r>
        <w:br w:type="page"/>
      </w:r>
    </w:p>
    <w:p w14:paraId="02F2BD1D" w14:textId="1E598D43" w:rsidR="00481685" w:rsidRPr="00A4582E" w:rsidRDefault="00481685" w:rsidP="00BC7F2A">
      <w:pPr>
        <w:spacing w:line="240" w:lineRule="auto"/>
        <w:rPr>
          <w:b/>
          <w:bCs/>
          <w:sz w:val="24"/>
          <w:szCs w:val="32"/>
        </w:rPr>
        <w:sectPr w:rsidR="00481685" w:rsidRPr="00A4582E" w:rsidSect="00F76571">
          <w:endnotePr>
            <w:numFmt w:val="decimal"/>
          </w:endnotePr>
          <w:type w:val="continuous"/>
          <w:pgSz w:w="11909" w:h="16834" w:code="9"/>
          <w:pgMar w:top="1701" w:right="851" w:bottom="851" w:left="851" w:header="851" w:footer="284" w:gutter="284"/>
          <w:cols w:space="720"/>
        </w:sectPr>
      </w:pPr>
    </w:p>
    <w:p w14:paraId="5D405062" w14:textId="77777777" w:rsidR="00480820" w:rsidRDefault="00480820">
      <w:pPr>
        <w:spacing w:line="240" w:lineRule="auto"/>
        <w:rPr>
          <w:rFonts w:eastAsiaTheme="minorEastAsia"/>
          <w:b/>
          <w:caps/>
          <w:color w:val="E68723"/>
          <w:sz w:val="24"/>
        </w:rPr>
      </w:pPr>
      <w:r>
        <w:br w:type="page"/>
      </w:r>
    </w:p>
    <w:p w14:paraId="71184B43" w14:textId="188EC185" w:rsidR="00E37EF3" w:rsidRPr="00A4582E" w:rsidRDefault="00E37EF3" w:rsidP="00275548">
      <w:pPr>
        <w:pStyle w:val="Heading2"/>
      </w:pPr>
      <w:r w:rsidRPr="00A4582E">
        <w:lastRenderedPageBreak/>
        <w:t>Chapter 1. Introduction and Background</w:t>
      </w:r>
    </w:p>
    <w:p w14:paraId="3FD8EAB2" w14:textId="63BB2171" w:rsidR="00E51A5A" w:rsidRPr="00A4582E" w:rsidRDefault="00E51A5A" w:rsidP="00492B55">
      <w:pPr>
        <w:pStyle w:val="Heading3"/>
      </w:pPr>
      <w:r w:rsidRPr="00A4582E">
        <w:t xml:space="preserve">1.1 </w:t>
      </w:r>
      <w:r w:rsidR="00844A81" w:rsidRPr="00A4582E">
        <w:t xml:space="preserve">Broadband as Essential Infrastructure </w:t>
      </w:r>
    </w:p>
    <w:p w14:paraId="55DC3627" w14:textId="5BF1CD7D" w:rsidR="00672D44" w:rsidRPr="00A4582E" w:rsidRDefault="00CD00ED" w:rsidP="00C32C28">
      <w:r w:rsidRPr="00A4582E">
        <w:t xml:space="preserve">In </w:t>
      </w:r>
      <w:r w:rsidR="00D471CF" w:rsidRPr="00A4582E">
        <w:t>today’s</w:t>
      </w:r>
      <w:r w:rsidRPr="00A4582E">
        <w:t xml:space="preserve"> society, b</w:t>
      </w:r>
      <w:r w:rsidR="00767ADF" w:rsidRPr="00A4582E">
        <w:t xml:space="preserve">roadband connectivity has become essential infrastructure underpinning economic growth, </w:t>
      </w:r>
      <w:r w:rsidR="00334A22" w:rsidRPr="00A4582E">
        <w:t xml:space="preserve">social </w:t>
      </w:r>
      <w:r w:rsidR="00767ADF" w:rsidRPr="00A4582E">
        <w:t>inclusion and public services. High-capacity networks enable innovation and participation across society, from manufacturing and energy to healthcare, education and govern</w:t>
      </w:r>
      <w:r w:rsidR="00334A22" w:rsidRPr="00A4582E">
        <w:t>ment</w:t>
      </w:r>
      <w:r w:rsidR="00767ADF" w:rsidRPr="00A4582E">
        <w:t xml:space="preserve">. </w:t>
      </w:r>
      <w:r w:rsidR="00E44FF1" w:rsidRPr="00A4582E">
        <w:t>Fiber</w:t>
      </w:r>
      <w:r w:rsidR="00767ADF" w:rsidRPr="00A4582E">
        <w:t xml:space="preserve"> networks now form the backbone of Europe’s competitiveness, supporting data </w:t>
      </w:r>
      <w:r w:rsidR="00E44FF1" w:rsidRPr="00A4582E">
        <w:t>centers</w:t>
      </w:r>
      <w:r w:rsidR="00767ADF" w:rsidRPr="00A4582E">
        <w:t xml:space="preserve">, artificial intelligence, smart cities and other data-driven sectors. They are increasingly </w:t>
      </w:r>
      <w:r w:rsidR="00D87DD2" w:rsidRPr="00A4582E">
        <w:t>recognized</w:t>
      </w:r>
      <w:r w:rsidR="00767ADF" w:rsidRPr="00A4582E">
        <w:t xml:space="preserve"> as critical infrastructure comparable to electricity grids or transport systems</w:t>
      </w:r>
      <w:r w:rsidR="00672D44" w:rsidRPr="00A4582E">
        <w:t>.</w:t>
      </w:r>
    </w:p>
    <w:p w14:paraId="0274E6F5" w14:textId="77777777" w:rsidR="000915D8" w:rsidRPr="00A4582E" w:rsidRDefault="000915D8" w:rsidP="00372803">
      <w:pPr>
        <w:ind w:left="397"/>
      </w:pPr>
    </w:p>
    <w:p w14:paraId="76086EB4" w14:textId="77777777" w:rsidR="00B54FC6" w:rsidRPr="00A4582E" w:rsidRDefault="00B54FC6" w:rsidP="00492B55">
      <w:pPr>
        <w:rPr>
          <w:rFonts w:eastAsiaTheme="minorEastAsia"/>
          <w:b/>
          <w:iCs/>
        </w:rPr>
      </w:pPr>
      <w:r w:rsidRPr="00A4582E">
        <w:rPr>
          <w:rFonts w:eastAsiaTheme="minorEastAsia"/>
          <w:b/>
          <w:iCs/>
        </w:rPr>
        <w:t>1.2 Historical Development and Current Challenges</w:t>
      </w:r>
    </w:p>
    <w:p w14:paraId="1991E020" w14:textId="1DF8D011" w:rsidR="00E51A5A" w:rsidRPr="00A4582E" w:rsidRDefault="00E51A5A" w:rsidP="00492B55">
      <w:pPr>
        <w:rPr>
          <w:rFonts w:eastAsiaTheme="minorEastAsia"/>
          <w:b/>
          <w:iCs/>
        </w:rPr>
      </w:pPr>
    </w:p>
    <w:p w14:paraId="5FFB072F" w14:textId="58AD1438" w:rsidR="00851487" w:rsidRPr="00A4582E" w:rsidRDefault="00F51E6B" w:rsidP="00851487">
      <w:r w:rsidRPr="00A4582E">
        <w:t xml:space="preserve">The emergence of municipal and locally anchored broadband networks can be traced to the </w:t>
      </w:r>
      <w:r w:rsidR="00413E44" w:rsidRPr="00A4582E">
        <w:t>liberalization</w:t>
      </w:r>
      <w:r w:rsidRPr="00A4582E">
        <w:t xml:space="preserve"> of Europe’s telecommunications markets in the 1990s. As national incumbents were separated from state ownership and market-entry barriers were lifted under EU directives, several Member States introduced frameworks that enabled municipalities, cooperatives and utilities to invest in digital infrastructure on commercial terms</w:t>
      </w:r>
      <w:r w:rsidR="004A14E8" w:rsidRPr="00A4582E">
        <w:t xml:space="preserve">. </w:t>
      </w:r>
      <w:r w:rsidR="00851487" w:rsidRPr="00A4582E">
        <w:t xml:space="preserve">In countries such as Sweden, Germany and Austria, the majority of municipal broadband networks are </w:t>
      </w:r>
      <w:r w:rsidR="004B2E91" w:rsidRPr="00A4582E">
        <w:t>organized</w:t>
      </w:r>
      <w:r w:rsidR="00851487" w:rsidRPr="00A4582E">
        <w:t xml:space="preserve"> within local or regional energy utilities, which also play a central role in local energy markets and often manage other infrastructure assets such as district heating, electricity grids, and waste management. </w:t>
      </w:r>
    </w:p>
    <w:p w14:paraId="52426A9D" w14:textId="77777777" w:rsidR="00851487" w:rsidRPr="00A4582E" w:rsidRDefault="00851487" w:rsidP="00F51E6B"/>
    <w:p w14:paraId="7B31237E" w14:textId="6EDB7D65" w:rsidR="00F51E6B" w:rsidRPr="00A4582E" w:rsidRDefault="00F51E6B" w:rsidP="00F51E6B">
      <w:r w:rsidRPr="00A4582E">
        <w:t xml:space="preserve">Northern European countries such as Sweden </w:t>
      </w:r>
      <w:r w:rsidR="00174F98" w:rsidRPr="00A4582E">
        <w:t xml:space="preserve">and Denmark </w:t>
      </w:r>
      <w:r w:rsidRPr="00A4582E">
        <w:t>were among the first to seize this opportunity, drawing on local</w:t>
      </w:r>
      <w:r w:rsidR="00FC5174" w:rsidRPr="00A4582E">
        <w:t xml:space="preserve"> utility traditions and strong municipal autonomy to establish </w:t>
      </w:r>
      <w:r w:rsidR="00413E44" w:rsidRPr="00A4582E">
        <w:t>fiber</w:t>
      </w:r>
      <w:r w:rsidR="00FC5174" w:rsidRPr="00A4582E">
        <w:t xml:space="preserve"> networks during the late 1990s and onwards. In other Member States, comparable initiatives have emerged more gradually, shaped by differing institutional structures, regulatory frameworks and investment capacities. Taken together, these developments illustrate how local and regional ownership models have evolved in multiple forms across Europe, adapting to national conditions while contributing to the shared objective of inclusive, high-capacity connectivity</w:t>
      </w:r>
      <w:r w:rsidRPr="00A4582E">
        <w:t>.</w:t>
      </w:r>
    </w:p>
    <w:p w14:paraId="272B9947" w14:textId="77777777" w:rsidR="00FC5174" w:rsidRPr="00A4582E" w:rsidRDefault="00FC5174" w:rsidP="00FC5174"/>
    <w:p w14:paraId="4EA4000D" w14:textId="029015B5" w:rsidR="00FC5174" w:rsidRPr="00A4582E" w:rsidRDefault="00814BA1" w:rsidP="00FC5174">
      <w:r w:rsidRPr="00A4582E">
        <w:t xml:space="preserve">Despite rapid expansion of high-capacity broadband networks, significant coverage and performance gaps persist </w:t>
      </w:r>
      <w:r w:rsidRPr="00A4582E">
        <w:t>between urban and rural areas. OECD analysis shows that while overall fixed broadband speeds increased substantially between 2019 and 2024, the speed gap between metropolitan and rural regions widened</w:t>
      </w:r>
      <w:r w:rsidR="00847D36" w:rsidRPr="00A4582E">
        <w:t>. On average, rural regions recorded speeds 24 percentage points lower than urban areas across the OECD</w:t>
      </w:r>
      <w:r w:rsidRPr="00A4582E">
        <w:t>.</w:t>
      </w:r>
      <w:r w:rsidR="00A71CA2" w:rsidRPr="00A4582E">
        <w:rPr>
          <w:rStyle w:val="EndnoteReference"/>
        </w:rPr>
        <w:endnoteReference w:id="2"/>
      </w:r>
      <w:r w:rsidRPr="00A4582E">
        <w:t xml:space="preserve"> EU monitoring similarly indicates that rural households continue to lag behind national averages in access to high-speed connectivity, despite rising overall coverage.</w:t>
      </w:r>
      <w:r w:rsidR="00367AA1" w:rsidRPr="00A4582E">
        <w:rPr>
          <w:rStyle w:val="EndnoteReference"/>
        </w:rPr>
        <w:endnoteReference w:id="3"/>
      </w:r>
      <w:r w:rsidRPr="00A4582E">
        <w:t xml:space="preserve"> These patterns reflect enduring structural challenges in extending high-capacity networks to low-density areas, where deployment costs are higher and the economics of rollout are less </w:t>
      </w:r>
      <w:r w:rsidR="00413E44" w:rsidRPr="00A4582E">
        <w:t>favorable</w:t>
      </w:r>
      <w:r w:rsidRPr="00A4582E">
        <w:t>.</w:t>
      </w:r>
      <w:r w:rsidR="00FC5174" w:rsidRPr="00A4582E">
        <w:t>.</w:t>
      </w:r>
    </w:p>
    <w:p w14:paraId="04A2C29A" w14:textId="77777777" w:rsidR="00FC5174" w:rsidRPr="00A4582E" w:rsidRDefault="00FC5174" w:rsidP="00FC5174"/>
    <w:p w14:paraId="29173F50" w14:textId="26E8AE5C" w:rsidR="00C5122C" w:rsidRPr="00A4582E" w:rsidRDefault="00FC5174" w:rsidP="00F51E6B">
      <w:r w:rsidRPr="00A4582E">
        <w:t>Locally anchored and utility-based networks have emerged as one of several instruments for closing remaining coverage gaps and ensuring full access.</w:t>
      </w:r>
      <w:r w:rsidR="00F6732F" w:rsidRPr="00A4582E">
        <w:t xml:space="preserve"> When municipalities</w:t>
      </w:r>
      <w:r w:rsidR="00BC3CC9" w:rsidRPr="00A4582E">
        <w:t xml:space="preserve"> </w:t>
      </w:r>
      <w:r w:rsidR="00F6732F" w:rsidRPr="00A4582E">
        <w:t>plan broadband deployment alongside energy, water or road projects, they can reduce duplication, shorten permitting cycles and extend network reach.</w:t>
      </w:r>
    </w:p>
    <w:p w14:paraId="56BC7544" w14:textId="77777777" w:rsidR="00FC5174" w:rsidRPr="00A4582E" w:rsidRDefault="00FC5174" w:rsidP="00FC5174"/>
    <w:p w14:paraId="5DB068BB" w14:textId="60D36D7E" w:rsidR="00226D3B" w:rsidRPr="00A4582E" w:rsidRDefault="005675A8" w:rsidP="00492B55">
      <w:pPr>
        <w:rPr>
          <w:b/>
        </w:rPr>
      </w:pPr>
      <w:r w:rsidRPr="00A4582E">
        <w:rPr>
          <w:b/>
        </w:rPr>
        <w:t xml:space="preserve">1.3 Market landscape </w:t>
      </w:r>
    </w:p>
    <w:p w14:paraId="0C6354CA" w14:textId="77777777" w:rsidR="00284F07" w:rsidRPr="00A4582E" w:rsidRDefault="00284F07" w:rsidP="00284F07">
      <w:pPr>
        <w:rPr>
          <w:b/>
        </w:rPr>
      </w:pPr>
    </w:p>
    <w:p w14:paraId="7B975003" w14:textId="55C7D3AF" w:rsidR="00AC31DC" w:rsidRPr="00A4582E" w:rsidRDefault="00AC31DC" w:rsidP="00AC31DC">
      <w:pPr>
        <w:rPr>
          <w:b/>
        </w:rPr>
      </w:pPr>
      <w:r w:rsidRPr="00A4582E">
        <w:rPr>
          <w:bCs/>
        </w:rPr>
        <w:t xml:space="preserve">Several Northern European countries have progressed rapidly in </w:t>
      </w:r>
      <w:r w:rsidR="007F1980" w:rsidRPr="00A4582E">
        <w:rPr>
          <w:bCs/>
        </w:rPr>
        <w:t>fiber</w:t>
      </w:r>
      <w:r w:rsidRPr="00A4582E">
        <w:rPr>
          <w:bCs/>
        </w:rPr>
        <w:t xml:space="preserve"> deployment, often featuring locally anchored and open-access models among other drivers. Many regions across Europe still face gaps in coverage and investment, particularly in rural and low-density areas where commercial incentives are weaker.</w:t>
      </w:r>
    </w:p>
    <w:p w14:paraId="2A92A05F" w14:textId="77777777" w:rsidR="00AC31DC" w:rsidRPr="00A4582E" w:rsidRDefault="00AC31DC" w:rsidP="00DC3AC3">
      <w:pPr>
        <w:rPr>
          <w:bCs/>
        </w:rPr>
      </w:pPr>
    </w:p>
    <w:p w14:paraId="32B55B7F" w14:textId="5308C0AA" w:rsidR="002A5DA4" w:rsidRPr="00A4582E" w:rsidRDefault="004A3C55" w:rsidP="00DC3AC3">
      <w:pPr>
        <w:rPr>
          <w:bCs/>
        </w:rPr>
      </w:pPr>
      <w:r w:rsidRPr="00A4582E">
        <w:rPr>
          <w:bCs/>
        </w:rPr>
        <w:t xml:space="preserve">Europe’s connectivity landscape combines national incumbents, private alternative operators and locally anchored owners. National incumbents control extensive </w:t>
      </w:r>
      <w:r w:rsidR="003A0298" w:rsidRPr="00A4582E">
        <w:rPr>
          <w:bCs/>
        </w:rPr>
        <w:t xml:space="preserve">legacy copper networks </w:t>
      </w:r>
      <w:r w:rsidRPr="00A4582E">
        <w:rPr>
          <w:bCs/>
        </w:rPr>
        <w:t xml:space="preserve">and remain major investors in </w:t>
      </w:r>
      <w:r w:rsidR="007F1980" w:rsidRPr="00A4582E">
        <w:rPr>
          <w:bCs/>
        </w:rPr>
        <w:t>fiber</w:t>
      </w:r>
      <w:r w:rsidRPr="00A4582E">
        <w:rPr>
          <w:bCs/>
        </w:rPr>
        <w:t xml:space="preserve"> upgrades. Private alternative operators, often backed by infrastructure funds or </w:t>
      </w:r>
      <w:r w:rsidR="007F1980" w:rsidRPr="00A4582E">
        <w:rPr>
          <w:bCs/>
        </w:rPr>
        <w:t>specialized</w:t>
      </w:r>
      <w:r w:rsidRPr="00A4582E">
        <w:rPr>
          <w:bCs/>
        </w:rPr>
        <w:t xml:space="preserve"> </w:t>
      </w:r>
      <w:r w:rsidR="00DD5F15" w:rsidRPr="00A4582E">
        <w:rPr>
          <w:bCs/>
        </w:rPr>
        <w:t>fiber</w:t>
      </w:r>
      <w:r w:rsidRPr="00A4582E">
        <w:rPr>
          <w:bCs/>
        </w:rPr>
        <w:t xml:space="preserve"> builders, contribute to market dynamism by expanding competitive pressure and accelerating deployment. Public or community-anchored entities, including municipalities, utilities and cooperatives, also play a significant competitive role. They not only enter where commercial incentives are weaker but also strengthen overall market competition through neutral and transparent infrastructure models and long-term investment strategies. Their ability to coordinate broadband rollout with other infrastructure projects reflects a practical operational advantage, but not an exclusive one. Under the European Electronic Communications Code, Article 44 establishes a legal right for all operators to request coordination of civil </w:t>
      </w:r>
      <w:r w:rsidRPr="00A4582E">
        <w:rPr>
          <w:bCs/>
        </w:rPr>
        <w:lastRenderedPageBreak/>
        <w:t>works. This ensures that coordination supports efficient deployment and remains available to all market participants on regulated terms.</w:t>
      </w:r>
    </w:p>
    <w:p w14:paraId="54C93F37" w14:textId="1D4DEE09" w:rsidR="00284F07" w:rsidRPr="00A4582E" w:rsidRDefault="00284F07" w:rsidP="002A5DA4">
      <w:pPr>
        <w:rPr>
          <w:bCs/>
        </w:rPr>
      </w:pPr>
    </w:p>
    <w:p w14:paraId="478AF221" w14:textId="6347CBAF" w:rsidR="00284F07" w:rsidRPr="00A4582E" w:rsidRDefault="00284F07" w:rsidP="00284F07">
      <w:pPr>
        <w:rPr>
          <w:bCs/>
        </w:rPr>
      </w:pPr>
      <w:r w:rsidRPr="00A4582E">
        <w:rPr>
          <w:bCs/>
        </w:rPr>
        <w:t xml:space="preserve">Within the European Union’s Digital Decade Policy </w:t>
      </w:r>
      <w:proofErr w:type="spellStart"/>
      <w:r w:rsidRPr="00A4582E">
        <w:rPr>
          <w:bCs/>
        </w:rPr>
        <w:t>Programme</w:t>
      </w:r>
      <w:proofErr w:type="spellEnd"/>
      <w:r w:rsidRPr="00A4582E">
        <w:rPr>
          <w:bCs/>
        </w:rPr>
        <w:t xml:space="preserve"> 2030, the Commission identifies persistent investment gaps, especially in rural and semi-urban areas, and calls for complementary public-private mechanisms to close them. Municipal and utility-owned networks are </w:t>
      </w:r>
      <w:r w:rsidR="007F1980" w:rsidRPr="00A4582E">
        <w:rPr>
          <w:bCs/>
        </w:rPr>
        <w:t>recognized</w:t>
      </w:r>
      <w:r w:rsidRPr="00A4582E">
        <w:rPr>
          <w:bCs/>
        </w:rPr>
        <w:t xml:space="preserve"> as key contributors to efficient deployment, competition and resilience.</w:t>
      </w:r>
    </w:p>
    <w:p w14:paraId="3877AAF7" w14:textId="77777777" w:rsidR="00284F07" w:rsidRPr="00A4582E" w:rsidRDefault="00284F07" w:rsidP="00284F07">
      <w:pPr>
        <w:rPr>
          <w:bCs/>
        </w:rPr>
      </w:pPr>
    </w:p>
    <w:p w14:paraId="164FED73" w14:textId="76BFA77F" w:rsidR="00284F07" w:rsidRPr="00A4582E" w:rsidRDefault="004C1A13" w:rsidP="00FF33AD">
      <w:pPr>
        <w:rPr>
          <w:bCs/>
        </w:rPr>
      </w:pPr>
      <w:r w:rsidRPr="00A4582E">
        <w:rPr>
          <w:bCs/>
        </w:rPr>
        <w:t>O</w:t>
      </w:r>
      <w:r w:rsidR="00284F07" w:rsidRPr="00A4582E">
        <w:rPr>
          <w:bCs/>
        </w:rPr>
        <w:t xml:space="preserve">pen-access wholesale has emerged as </w:t>
      </w:r>
      <w:r w:rsidR="003909D5" w:rsidRPr="00A4582E">
        <w:rPr>
          <w:bCs/>
        </w:rPr>
        <w:t xml:space="preserve">one of the </w:t>
      </w:r>
      <w:r w:rsidR="00284F07" w:rsidRPr="00A4582E">
        <w:rPr>
          <w:bCs/>
        </w:rPr>
        <w:t xml:space="preserve">effective </w:t>
      </w:r>
      <w:r w:rsidR="003909D5" w:rsidRPr="00A4582E">
        <w:rPr>
          <w:bCs/>
        </w:rPr>
        <w:t>models</w:t>
      </w:r>
      <w:r w:rsidR="00284F07" w:rsidRPr="00A4582E">
        <w:rPr>
          <w:bCs/>
        </w:rPr>
        <w:t xml:space="preserve"> for promoting competition and efficient network use. It combines the governance principle of open access, which ensures equal and transparent conditions for all service providers, with the wholesale function that allows multiple retail actors to share the same physical network. This</w:t>
      </w:r>
      <w:r w:rsidR="00001888" w:rsidRPr="00A4582E">
        <w:rPr>
          <w:bCs/>
        </w:rPr>
        <w:t xml:space="preserve"> </w:t>
      </w:r>
      <w:r w:rsidR="00284F07" w:rsidRPr="00A4582E">
        <w:rPr>
          <w:bCs/>
        </w:rPr>
        <w:t xml:space="preserve">structure </w:t>
      </w:r>
      <w:r w:rsidR="00001888" w:rsidRPr="00A4582E">
        <w:rPr>
          <w:bCs/>
        </w:rPr>
        <w:t xml:space="preserve">can aid in </w:t>
      </w:r>
      <w:r w:rsidR="00284F07" w:rsidRPr="00A4582E">
        <w:rPr>
          <w:bCs/>
        </w:rPr>
        <w:t>support</w:t>
      </w:r>
      <w:r w:rsidR="00001888" w:rsidRPr="00A4582E">
        <w:rPr>
          <w:bCs/>
        </w:rPr>
        <w:t>ing</w:t>
      </w:r>
      <w:r w:rsidR="00284F07" w:rsidRPr="00A4582E">
        <w:rPr>
          <w:bCs/>
        </w:rPr>
        <w:t xml:space="preserve"> competition and efficient resource use, </w:t>
      </w:r>
      <w:r w:rsidR="00FF33AD" w:rsidRPr="00A4582E">
        <w:rPr>
          <w:bCs/>
        </w:rPr>
        <w:t>helping to reduce</w:t>
      </w:r>
      <w:r w:rsidR="006A3D3D" w:rsidRPr="00A4582E">
        <w:rPr>
          <w:bCs/>
        </w:rPr>
        <w:t xml:space="preserve"> unnecessary duplication </w:t>
      </w:r>
      <w:r w:rsidR="00284F07" w:rsidRPr="00A4582E">
        <w:rPr>
          <w:bCs/>
        </w:rPr>
        <w:t>and extend high-quality connectivity even in commercially marginal areas.</w:t>
      </w:r>
    </w:p>
    <w:p w14:paraId="74940BA0" w14:textId="77777777" w:rsidR="002B7D81" w:rsidRPr="00A4582E" w:rsidRDefault="002B7D81" w:rsidP="00FF33AD">
      <w:pPr>
        <w:rPr>
          <w:bCs/>
        </w:rPr>
      </w:pPr>
    </w:p>
    <w:p w14:paraId="755C85E5" w14:textId="42AFACBB" w:rsidR="00EF4CAA" w:rsidRPr="00A4582E" w:rsidRDefault="002227E0" w:rsidP="00492B55">
      <w:pPr>
        <w:pStyle w:val="Heading3"/>
      </w:pPr>
      <w:r w:rsidRPr="00A4582E">
        <w:t>1.</w:t>
      </w:r>
      <w:r w:rsidR="000F3A5D" w:rsidRPr="00A4582E">
        <w:t>4</w:t>
      </w:r>
      <w:r w:rsidRPr="00A4582E">
        <w:t xml:space="preserve"> </w:t>
      </w:r>
      <w:r w:rsidR="000F3A5D" w:rsidRPr="00A4582E">
        <w:t xml:space="preserve">The </w:t>
      </w:r>
      <w:r w:rsidR="00AB0B91" w:rsidRPr="00A4582E">
        <w:t>R</w:t>
      </w:r>
      <w:r w:rsidR="000F3A5D" w:rsidRPr="00A4582E">
        <w:t xml:space="preserve">ole of </w:t>
      </w:r>
      <w:r w:rsidR="00AB0B91" w:rsidRPr="00A4582E">
        <w:t>M</w:t>
      </w:r>
      <w:r w:rsidR="000F3A5D" w:rsidRPr="00A4582E">
        <w:t xml:space="preserve">unicipal </w:t>
      </w:r>
      <w:r w:rsidR="00AB0B91" w:rsidRPr="00A4582E">
        <w:t>N</w:t>
      </w:r>
      <w:r w:rsidR="000F3A5D" w:rsidRPr="00A4582E">
        <w:t>etworks</w:t>
      </w:r>
      <w:r w:rsidR="00E72C74" w:rsidRPr="00A4582E">
        <w:tab/>
      </w:r>
    </w:p>
    <w:p w14:paraId="34188A2A" w14:textId="77777777" w:rsidR="00E15225" w:rsidRPr="00A4582E" w:rsidRDefault="00C81DEE" w:rsidP="00C81DEE">
      <w:r w:rsidRPr="00A4582E">
        <w:t>Municipal broadband networks generally refer to digital infrastructure that is locally owned or governed, often by a municipality, regional utility or cooperative operating on commercial or cost-recovery terms. Many provide access to multiple service providers on equal, transparent and non-discriminatory terms, following the principle of open access.</w:t>
      </w:r>
    </w:p>
    <w:p w14:paraId="43FC62F7" w14:textId="307D45BD" w:rsidR="00E15225" w:rsidRPr="00A4582E" w:rsidRDefault="00E15225" w:rsidP="00C81DEE">
      <w:r w:rsidRPr="00A4582E">
        <w:t xml:space="preserve">In practice, most municipal networks operate at the wholesale level, providing capacity to retail service providers, while many also offer limited retail services within vertically integrated </w:t>
      </w:r>
      <w:r w:rsidR="007F1980" w:rsidRPr="00A4582E">
        <w:t>organizations</w:t>
      </w:r>
      <w:r w:rsidRPr="00A4582E">
        <w:t>. The extent of retail involvement varies between countries, with some, such as Germany, exhibiting a stronger presence of municipal companies at the retail layer.</w:t>
      </w:r>
    </w:p>
    <w:p w14:paraId="12282DF4" w14:textId="77777777" w:rsidR="00C81DEE" w:rsidRPr="00A4582E" w:rsidRDefault="00C81DEE" w:rsidP="00C81DEE"/>
    <w:p w14:paraId="6E607DDE" w14:textId="0230F84A" w:rsidR="00DF4248" w:rsidRPr="00A4582E" w:rsidRDefault="00C81DEE" w:rsidP="000A79A0">
      <w:r w:rsidRPr="00A4582E">
        <w:t xml:space="preserve">Municipal </w:t>
      </w:r>
      <w:r w:rsidR="000452CC" w:rsidRPr="00A4582E">
        <w:t xml:space="preserve">and </w:t>
      </w:r>
      <w:r w:rsidR="007F1980" w:rsidRPr="00A4582E">
        <w:t>fiber</w:t>
      </w:r>
      <w:r w:rsidR="007B0A77" w:rsidRPr="00A4582E">
        <w:t xml:space="preserve"> </w:t>
      </w:r>
      <w:r w:rsidR="00DF4248" w:rsidRPr="00A4582E">
        <w:t xml:space="preserve">networks follow the same economic logic as other foundational infrastructure systems such as transport networks, electricity grids, or water systems. In each case, a reliable physical layer can support multiple services above it: roads enable logistics providers, grids distribute power from different producers, and </w:t>
      </w:r>
      <w:r w:rsidR="007F1980" w:rsidRPr="00A4582E">
        <w:t>fiber</w:t>
      </w:r>
      <w:r w:rsidR="00DF4248" w:rsidRPr="00A4582E">
        <w:t xml:space="preserve"> networks carry digital services from multiple providers. Applying this infrastructure logic to communications means </w:t>
      </w:r>
      <w:r w:rsidR="00A94DFB" w:rsidRPr="00A4582E">
        <w:t>organizing</w:t>
      </w:r>
      <w:r w:rsidR="00DF4248" w:rsidRPr="00A4582E">
        <w:t xml:space="preserve"> the </w:t>
      </w:r>
      <w:r w:rsidR="00DF4248" w:rsidRPr="00A4582E">
        <w:t>physical layer in a way that promotes efficient investment and long-term sustainability, while allowing competition and innovation to take place at the service level. This outcome can be achieved under different ownership models</w:t>
      </w:r>
      <w:r w:rsidR="00A94DFB" w:rsidRPr="00A4582E">
        <w:t xml:space="preserve">, </w:t>
      </w:r>
      <w:r w:rsidR="00DF4248" w:rsidRPr="00A4582E">
        <w:t>municipal, private, or incumbent</w:t>
      </w:r>
      <w:r w:rsidR="00A94DFB" w:rsidRPr="00A4582E">
        <w:t xml:space="preserve">, </w:t>
      </w:r>
      <w:r w:rsidR="00DF4248" w:rsidRPr="00A4582E">
        <w:t>provided that open-access principles, effective regulation, or structural separation are in place. At the same time, infrastructure-based competition can play an important role in driving innovation and service quality in some markets.</w:t>
      </w:r>
      <w:r w:rsidR="007B0A77" w:rsidRPr="00A4582E">
        <w:t xml:space="preserve"> The aim is to enable effective resource use, avoid duplication and </w:t>
      </w:r>
      <w:r w:rsidR="000A79A0" w:rsidRPr="00A4582E">
        <w:t>the extension of high-quality connectivity to less commercially attractive areas.</w:t>
      </w:r>
    </w:p>
    <w:p w14:paraId="21F974A9" w14:textId="77777777" w:rsidR="00036792" w:rsidRPr="00A4582E" w:rsidRDefault="00036792" w:rsidP="00C81DEE"/>
    <w:p w14:paraId="49E778AA" w14:textId="623279C1" w:rsidR="00C81DEE" w:rsidRPr="00A4582E" w:rsidRDefault="00523354" w:rsidP="00C81DEE">
      <w:r w:rsidRPr="00A4582E">
        <w:t xml:space="preserve">Municipal and regional network owners contribute </w:t>
      </w:r>
      <w:r w:rsidR="00AF6A23" w:rsidRPr="00A4582E">
        <w:t xml:space="preserve">with </w:t>
      </w:r>
      <w:r w:rsidRPr="00A4582E">
        <w:t xml:space="preserve">distinctive strengths to Europe’s broadband landscape. Their governance models often enable long-term planning, close alignment with public-service priorities and systematic coordination with other local infrastructure projects. These characteristics complement the capabilities of national and private operators, and together they form a balanced ecosystem in which different ownership models </w:t>
      </w:r>
      <w:r w:rsidR="0057295B" w:rsidRPr="00A4582E">
        <w:t xml:space="preserve">can </w:t>
      </w:r>
      <w:r w:rsidRPr="00A4582E">
        <w:t>support deployment, competition and digital resilience.</w:t>
      </w:r>
    </w:p>
    <w:p w14:paraId="0C0393E2" w14:textId="77777777" w:rsidR="00523354" w:rsidRPr="00A4582E" w:rsidRDefault="00523354" w:rsidP="00C81DEE"/>
    <w:p w14:paraId="150AE4EE" w14:textId="5706E3A0" w:rsidR="00D717AF" w:rsidRPr="00A4582E" w:rsidRDefault="00D717AF" w:rsidP="00D717AF">
      <w:pPr>
        <w:rPr>
          <w:bCs/>
        </w:rPr>
      </w:pPr>
      <w:r w:rsidRPr="00A4582E">
        <w:rPr>
          <w:b/>
        </w:rPr>
        <w:t>Sweden</w:t>
      </w:r>
    </w:p>
    <w:p w14:paraId="17E60C49" w14:textId="070920CF" w:rsidR="00D717AF" w:rsidRPr="00A4582E" w:rsidRDefault="00D717AF" w:rsidP="00D717AF">
      <w:pPr>
        <w:rPr>
          <w:bCs/>
        </w:rPr>
      </w:pPr>
      <w:r w:rsidRPr="00A4582E">
        <w:rPr>
          <w:bCs/>
        </w:rPr>
        <w:t xml:space="preserve">Sweden provides the most mature and </w:t>
      </w:r>
      <w:r w:rsidR="007F1980" w:rsidRPr="00A4582E">
        <w:rPr>
          <w:bCs/>
        </w:rPr>
        <w:t>systemized</w:t>
      </w:r>
      <w:r w:rsidRPr="00A4582E">
        <w:rPr>
          <w:bCs/>
        </w:rPr>
        <w:t xml:space="preserve"> version of </w:t>
      </w:r>
      <w:r w:rsidR="00AE385D" w:rsidRPr="00A4582E">
        <w:rPr>
          <w:bCs/>
        </w:rPr>
        <w:t>the municipal-network</w:t>
      </w:r>
      <w:r w:rsidRPr="00A4582E">
        <w:rPr>
          <w:bCs/>
        </w:rPr>
        <w:t xml:space="preserve"> model</w:t>
      </w:r>
      <w:r w:rsidR="00AE385D" w:rsidRPr="00A4582E">
        <w:rPr>
          <w:bCs/>
        </w:rPr>
        <w:t xml:space="preserve"> in Europe.</w:t>
      </w:r>
      <w:r w:rsidRPr="00A4582E">
        <w:rPr>
          <w:bCs/>
        </w:rPr>
        <w:t xml:space="preserve"> There are about 170 established </w:t>
      </w:r>
      <w:r w:rsidR="004A23D7" w:rsidRPr="00A4582E">
        <w:rPr>
          <w:bCs/>
        </w:rPr>
        <w:t>municipal/city networks</w:t>
      </w:r>
      <w:r w:rsidRPr="00A4582E">
        <w:rPr>
          <w:bCs/>
        </w:rPr>
        <w:t xml:space="preserve"> operating in approximately 200 of the country’s 290 municipalities, of which around 90 percent are municipally owned.</w:t>
      </w:r>
      <w:r w:rsidR="00B67691" w:rsidRPr="00A4582E">
        <w:rPr>
          <w:rStyle w:val="EndnoteReference"/>
          <w:bCs/>
        </w:rPr>
        <w:endnoteReference w:id="4"/>
      </w:r>
      <w:r w:rsidRPr="00A4582E">
        <w:rPr>
          <w:bCs/>
        </w:rPr>
        <w:t xml:space="preserve"> </w:t>
      </w:r>
      <w:r w:rsidR="00AE385D" w:rsidRPr="00A4582E">
        <w:rPr>
          <w:bCs/>
        </w:rPr>
        <w:t>Together, these</w:t>
      </w:r>
      <w:r w:rsidRPr="00A4582E">
        <w:rPr>
          <w:bCs/>
        </w:rPr>
        <w:t xml:space="preserve"> networks account for </w:t>
      </w:r>
      <w:r w:rsidR="00AE385D" w:rsidRPr="00A4582E">
        <w:rPr>
          <w:bCs/>
        </w:rPr>
        <w:t>roughly</w:t>
      </w:r>
      <w:r w:rsidRPr="00A4582E">
        <w:rPr>
          <w:bCs/>
        </w:rPr>
        <w:t xml:space="preserve"> half of Sweden’s broadband infrastructure, </w:t>
      </w:r>
      <w:r w:rsidR="00AE385D" w:rsidRPr="00A4582E">
        <w:rPr>
          <w:bCs/>
        </w:rPr>
        <w:t>illustrating</w:t>
      </w:r>
      <w:r w:rsidRPr="00A4582E">
        <w:rPr>
          <w:bCs/>
        </w:rPr>
        <w:t xml:space="preserve"> the pivotal role of local actors in </w:t>
      </w:r>
      <w:r w:rsidR="00AE385D" w:rsidRPr="00A4582E">
        <w:rPr>
          <w:bCs/>
        </w:rPr>
        <w:t xml:space="preserve">achieving near-universal </w:t>
      </w:r>
      <w:r w:rsidR="007F1980" w:rsidRPr="00A4582E">
        <w:rPr>
          <w:bCs/>
        </w:rPr>
        <w:t>fiber</w:t>
      </w:r>
      <w:r w:rsidR="00AE385D" w:rsidRPr="00A4582E">
        <w:rPr>
          <w:bCs/>
        </w:rPr>
        <w:t xml:space="preserve"> access. Nationwide </w:t>
      </w:r>
      <w:r w:rsidR="007F1980" w:rsidRPr="00A4582E">
        <w:rPr>
          <w:bCs/>
        </w:rPr>
        <w:t>fiber</w:t>
      </w:r>
      <w:r w:rsidR="00AE385D" w:rsidRPr="00A4582E">
        <w:rPr>
          <w:bCs/>
        </w:rPr>
        <w:t xml:space="preserve"> availability across all operators now places approximately 98 percent of addresses within reach of </w:t>
      </w:r>
      <w:r w:rsidR="007F1980" w:rsidRPr="00A4582E">
        <w:rPr>
          <w:bCs/>
        </w:rPr>
        <w:t>fiber</w:t>
      </w:r>
      <w:r w:rsidR="00AE385D" w:rsidRPr="00A4582E">
        <w:rPr>
          <w:bCs/>
        </w:rPr>
        <w:t xml:space="preserve"> and 85.4 percent with </w:t>
      </w:r>
      <w:r w:rsidR="007F1980" w:rsidRPr="00A4582E">
        <w:rPr>
          <w:bCs/>
        </w:rPr>
        <w:t>fiber</w:t>
      </w:r>
      <w:r w:rsidR="00AE385D" w:rsidRPr="00A4582E">
        <w:rPr>
          <w:bCs/>
        </w:rPr>
        <w:t xml:space="preserve"> in the building as of October 2024 (see Figure 1).</w:t>
      </w:r>
      <w:r w:rsidRPr="00A4582E">
        <w:rPr>
          <w:bCs/>
        </w:rPr>
        <w:t xml:space="preserve"> While the business models vary, </w:t>
      </w:r>
      <w:r w:rsidR="00FA582E" w:rsidRPr="00A4582E">
        <w:rPr>
          <w:bCs/>
        </w:rPr>
        <w:t>almost all</w:t>
      </w:r>
      <w:r w:rsidRPr="00A4582E">
        <w:rPr>
          <w:bCs/>
        </w:rPr>
        <w:t xml:space="preserve"> </w:t>
      </w:r>
      <w:r w:rsidR="004A23D7" w:rsidRPr="00A4582E">
        <w:rPr>
          <w:bCs/>
        </w:rPr>
        <w:t>municipal/city</w:t>
      </w:r>
      <w:r w:rsidR="00597C40" w:rsidRPr="00A4582E">
        <w:rPr>
          <w:bCs/>
        </w:rPr>
        <w:t xml:space="preserve"> networks</w:t>
      </w:r>
      <w:r w:rsidRPr="00A4582E">
        <w:rPr>
          <w:bCs/>
        </w:rPr>
        <w:t xml:space="preserve"> operate as neutral infrastructure owners, leasing </w:t>
      </w:r>
      <w:r w:rsidR="007F1980" w:rsidRPr="00A4582E">
        <w:rPr>
          <w:bCs/>
        </w:rPr>
        <w:t>fiber</w:t>
      </w:r>
      <w:r w:rsidRPr="00A4582E">
        <w:rPr>
          <w:bCs/>
        </w:rPr>
        <w:t xml:space="preserve"> or capacity to multiple service providers and enabling competition and </w:t>
      </w:r>
      <w:r w:rsidR="00AE385D" w:rsidRPr="00A4582E">
        <w:rPr>
          <w:bCs/>
        </w:rPr>
        <w:t xml:space="preserve">consumer </w:t>
      </w:r>
      <w:r w:rsidRPr="00A4582E">
        <w:rPr>
          <w:bCs/>
        </w:rPr>
        <w:t>choice at the retail layer.</w:t>
      </w:r>
    </w:p>
    <w:p w14:paraId="0D14C5CF" w14:textId="16A92F6F" w:rsidR="00AE385D" w:rsidRPr="00A4582E" w:rsidRDefault="00D44DB0" w:rsidP="00D717AF">
      <w:pPr>
        <w:rPr>
          <w:bCs/>
        </w:rPr>
      </w:pPr>
      <w:r w:rsidRPr="00A4582E">
        <w:rPr>
          <w:noProof/>
        </w:rPr>
        <w:lastRenderedPageBreak/>
        <w:drawing>
          <wp:inline distT="0" distB="0" distL="0" distR="0" wp14:anchorId="738D7BD4" wp14:editId="21A535AA">
            <wp:extent cx="2921635" cy="2113280"/>
            <wp:effectExtent l="0" t="0" r="0" b="1270"/>
            <wp:docPr id="64" name="Picture 63" descr="A diagram of fiber in a circle&#10;&#10;AI-generated content may be incorrect.">
              <a:extLst xmlns:a="http://schemas.openxmlformats.org/drawingml/2006/main">
                <a:ext uri="{FF2B5EF4-FFF2-40B4-BE49-F238E27FC236}">
                  <a16:creationId xmlns:a16="http://schemas.microsoft.com/office/drawing/2014/main" id="{6E149782-D658-CD2A-A4FA-621E487D8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descr="A diagram of fiber in a circle&#10;&#10;AI-generated content may be incorrect.">
                      <a:extLst>
                        <a:ext uri="{FF2B5EF4-FFF2-40B4-BE49-F238E27FC236}">
                          <a16:creationId xmlns:a16="http://schemas.microsoft.com/office/drawing/2014/main" id="{6E149782-D658-CD2A-A4FA-621E487D8707}"/>
                        </a:ext>
                      </a:extLst>
                    </pic:cNvPr>
                    <pic:cNvPicPr>
                      <a:picLocks noChangeAspect="1"/>
                    </pic:cNvPicPr>
                  </pic:nvPicPr>
                  <pic:blipFill>
                    <a:blip r:embed="rId20"/>
                    <a:stretch>
                      <a:fillRect/>
                    </a:stretch>
                  </pic:blipFill>
                  <pic:spPr>
                    <a:xfrm>
                      <a:off x="0" y="0"/>
                      <a:ext cx="2921635" cy="2113280"/>
                    </a:xfrm>
                    <a:prstGeom prst="rect">
                      <a:avLst/>
                    </a:prstGeom>
                  </pic:spPr>
                </pic:pic>
              </a:graphicData>
            </a:graphic>
          </wp:inline>
        </w:drawing>
      </w:r>
    </w:p>
    <w:p w14:paraId="52A75F7D" w14:textId="00026B1D" w:rsidR="00F22D4D" w:rsidRPr="00A4582E" w:rsidRDefault="00F22D4D" w:rsidP="00F22D4D">
      <w:pPr>
        <w:rPr>
          <w:i/>
          <w:iCs/>
          <w:sz w:val="16"/>
          <w:szCs w:val="18"/>
        </w:rPr>
      </w:pPr>
      <w:r w:rsidRPr="00A4582E">
        <w:rPr>
          <w:i/>
          <w:iCs/>
          <w:sz w:val="16"/>
          <w:szCs w:val="18"/>
        </w:rPr>
        <w:t xml:space="preserve">Figure 1: </w:t>
      </w:r>
      <w:r w:rsidR="007F1980" w:rsidRPr="00A4582E">
        <w:rPr>
          <w:i/>
          <w:iCs/>
          <w:sz w:val="16"/>
          <w:szCs w:val="18"/>
        </w:rPr>
        <w:t>Fiber</w:t>
      </w:r>
      <w:r w:rsidRPr="00A4582E">
        <w:rPr>
          <w:i/>
          <w:iCs/>
          <w:sz w:val="16"/>
          <w:szCs w:val="18"/>
        </w:rPr>
        <w:t xml:space="preserve"> subscriptions in relation to absolute proximity to </w:t>
      </w:r>
      <w:r w:rsidR="007F1980" w:rsidRPr="00A4582E">
        <w:rPr>
          <w:i/>
          <w:iCs/>
          <w:sz w:val="16"/>
          <w:szCs w:val="18"/>
        </w:rPr>
        <w:t>fiber</w:t>
      </w:r>
      <w:r w:rsidRPr="00A4582E">
        <w:rPr>
          <w:i/>
          <w:iCs/>
          <w:sz w:val="16"/>
          <w:szCs w:val="18"/>
        </w:rPr>
        <w:t xml:space="preserve"> infrastructure</w:t>
      </w:r>
    </w:p>
    <w:p w14:paraId="67B4CB6D" w14:textId="77777777" w:rsidR="00F22D4D" w:rsidRPr="00A4582E" w:rsidRDefault="00F22D4D" w:rsidP="00F22D4D">
      <w:pPr>
        <w:rPr>
          <w:i/>
          <w:iCs/>
          <w:sz w:val="16"/>
          <w:szCs w:val="18"/>
        </w:rPr>
      </w:pPr>
    </w:p>
    <w:p w14:paraId="17B842AB" w14:textId="77777777" w:rsidR="00D717AF" w:rsidRPr="00A4582E" w:rsidRDefault="00D717AF" w:rsidP="00D717AF">
      <w:pPr>
        <w:rPr>
          <w:b/>
        </w:rPr>
      </w:pPr>
      <w:r w:rsidRPr="00A4582E">
        <w:rPr>
          <w:b/>
        </w:rPr>
        <w:t>Germany</w:t>
      </w:r>
    </w:p>
    <w:p w14:paraId="02EE8917" w14:textId="76C4D583" w:rsidR="00561984" w:rsidRPr="00A4582E" w:rsidRDefault="00561984" w:rsidP="00D717AF">
      <w:pPr>
        <w:rPr>
          <w:bCs/>
        </w:rPr>
      </w:pPr>
      <w:r w:rsidRPr="00A4582E">
        <w:rPr>
          <w:bCs/>
        </w:rPr>
        <w:t xml:space="preserve">Germany follows a mixed model. A growing number of </w:t>
      </w:r>
      <w:r w:rsidR="00A15E3B" w:rsidRPr="00A4582E">
        <w:rPr>
          <w:bCs/>
        </w:rPr>
        <w:t xml:space="preserve">local </w:t>
      </w:r>
      <w:r w:rsidR="007F1980" w:rsidRPr="00A4582E">
        <w:rPr>
          <w:bCs/>
        </w:rPr>
        <w:t>fiber</w:t>
      </w:r>
      <w:r w:rsidR="00A15E3B" w:rsidRPr="00A4582E">
        <w:rPr>
          <w:bCs/>
        </w:rPr>
        <w:t xml:space="preserve"> actors</w:t>
      </w:r>
      <w:r w:rsidRPr="00A4582E">
        <w:rPr>
          <w:bCs/>
        </w:rPr>
        <w:t xml:space="preserve"> combine energy-network expertise with broadband rollout</w:t>
      </w:r>
      <w:r w:rsidR="0076176E" w:rsidRPr="00A4582E">
        <w:rPr>
          <w:bCs/>
        </w:rPr>
        <w:t xml:space="preserve">, similar to </w:t>
      </w:r>
      <w:r w:rsidR="0085039F" w:rsidRPr="00A4582E">
        <w:rPr>
          <w:bCs/>
        </w:rPr>
        <w:t>Sweden and Austria</w:t>
      </w:r>
      <w:r w:rsidRPr="00A4582E">
        <w:rPr>
          <w:bCs/>
        </w:rPr>
        <w:t xml:space="preserve">. They deploy or co-finance open-access </w:t>
      </w:r>
      <w:r w:rsidR="007F1980" w:rsidRPr="00A4582E">
        <w:rPr>
          <w:bCs/>
        </w:rPr>
        <w:t>fiber</w:t>
      </w:r>
      <w:r w:rsidRPr="00A4582E">
        <w:rPr>
          <w:bCs/>
        </w:rPr>
        <w:t xml:space="preserve"> networks that complement national rollouts and fill coverage gaps. The market is </w:t>
      </w:r>
      <w:r w:rsidR="007F1980" w:rsidRPr="00A4582E">
        <w:rPr>
          <w:bCs/>
        </w:rPr>
        <w:t>characterized</w:t>
      </w:r>
      <w:r w:rsidRPr="00A4582E">
        <w:rPr>
          <w:bCs/>
        </w:rPr>
        <w:t xml:space="preserve"> to a significant extent by municipal economies, reflecting the scale and maturity of local public utilities in the broadband sector. According to the Federal Ministry for Digital and Public Administration, municipal companies account for at least 21.3 percent of existing </w:t>
      </w:r>
      <w:r w:rsidR="007F1980" w:rsidRPr="00A4582E">
        <w:rPr>
          <w:bCs/>
        </w:rPr>
        <w:t>fiber</w:t>
      </w:r>
      <w:r w:rsidRPr="00A4582E">
        <w:rPr>
          <w:bCs/>
        </w:rPr>
        <w:t xml:space="preserve"> coverage, making them the second largest investor group after the incumbent, and the actual share is likely higher since not all relevant companies were classified under the </w:t>
      </w:r>
      <w:r w:rsidR="004A20B0" w:rsidRPr="00A4582E">
        <w:rPr>
          <w:bCs/>
        </w:rPr>
        <w:t xml:space="preserve">local </w:t>
      </w:r>
      <w:r w:rsidR="007F1980" w:rsidRPr="00A4582E">
        <w:rPr>
          <w:bCs/>
        </w:rPr>
        <w:t>fiber</w:t>
      </w:r>
      <w:r w:rsidR="004A20B0" w:rsidRPr="00A4582E">
        <w:rPr>
          <w:bCs/>
        </w:rPr>
        <w:t xml:space="preserve"> actor</w:t>
      </w:r>
      <w:r w:rsidRPr="00A4582E">
        <w:rPr>
          <w:bCs/>
        </w:rPr>
        <w:t xml:space="preserve"> category. The VKU</w:t>
      </w:r>
      <w:r w:rsidR="0053367F" w:rsidRPr="00A4582E">
        <w:rPr>
          <w:bCs/>
        </w:rPr>
        <w:t xml:space="preserve"> (</w:t>
      </w:r>
      <w:proofErr w:type="spellStart"/>
      <w:r w:rsidR="00DF4A6A" w:rsidRPr="00A4582E">
        <w:rPr>
          <w:bCs/>
        </w:rPr>
        <w:t>Verband</w:t>
      </w:r>
      <w:proofErr w:type="spellEnd"/>
      <w:r w:rsidR="00DF4A6A" w:rsidRPr="00A4582E">
        <w:rPr>
          <w:bCs/>
        </w:rPr>
        <w:t xml:space="preserve"> </w:t>
      </w:r>
      <w:proofErr w:type="spellStart"/>
      <w:r w:rsidR="00DF4A6A" w:rsidRPr="00A4582E">
        <w:rPr>
          <w:bCs/>
        </w:rPr>
        <w:t>kommunaler</w:t>
      </w:r>
      <w:proofErr w:type="spellEnd"/>
      <w:r w:rsidR="00DF4A6A" w:rsidRPr="00A4582E">
        <w:rPr>
          <w:bCs/>
        </w:rPr>
        <w:t xml:space="preserve"> </w:t>
      </w:r>
      <w:proofErr w:type="spellStart"/>
      <w:r w:rsidR="00DF4A6A" w:rsidRPr="00A4582E">
        <w:rPr>
          <w:bCs/>
        </w:rPr>
        <w:t>Unternehmen</w:t>
      </w:r>
      <w:proofErr w:type="spellEnd"/>
      <w:r w:rsidR="00DF4A6A" w:rsidRPr="00A4582E">
        <w:rPr>
          <w:bCs/>
        </w:rPr>
        <w:t>, German Association of Local Public Utilities of municipally determined infrastructure undertakings and economic enterprises</w:t>
      </w:r>
      <w:r w:rsidR="0053367F" w:rsidRPr="00A4582E">
        <w:rPr>
          <w:bCs/>
        </w:rPr>
        <w:t>)</w:t>
      </w:r>
      <w:r w:rsidRPr="00A4582E">
        <w:rPr>
          <w:bCs/>
        </w:rPr>
        <w:t xml:space="preserve"> alone has more than 220 member companies active in broadband, out of an estimated 400 telecommunications companies nationwide. Open-access platforms supported by municipal companies are also emerging and becoming established. Stadtwerke </w:t>
      </w:r>
      <w:proofErr w:type="spellStart"/>
      <w:r w:rsidRPr="00A4582E">
        <w:rPr>
          <w:bCs/>
        </w:rPr>
        <w:t>Neumünster</w:t>
      </w:r>
      <w:proofErr w:type="spellEnd"/>
      <w:r w:rsidRPr="00A4582E">
        <w:rPr>
          <w:bCs/>
        </w:rPr>
        <w:t xml:space="preserve"> is currently developing such a platform, and other municipal operators, including WEMAG and </w:t>
      </w:r>
      <w:proofErr w:type="spellStart"/>
      <w:r w:rsidRPr="00A4582E">
        <w:rPr>
          <w:bCs/>
        </w:rPr>
        <w:t>Thüga</w:t>
      </w:r>
      <w:proofErr w:type="spellEnd"/>
      <w:r w:rsidRPr="00A4582E">
        <w:rPr>
          <w:bCs/>
        </w:rPr>
        <w:t xml:space="preserve">, have also adopted or founded platform-based wholesale models. The </w:t>
      </w:r>
      <w:proofErr w:type="spellStart"/>
      <w:r w:rsidRPr="00A4582E">
        <w:rPr>
          <w:bCs/>
        </w:rPr>
        <w:t>Bundesnetzagentur</w:t>
      </w:r>
      <w:proofErr w:type="spellEnd"/>
      <w:r w:rsidRPr="00A4582E">
        <w:rPr>
          <w:bCs/>
        </w:rPr>
        <w:t xml:space="preserve"> supports voluntary open-access frameworks to promote transparency and interoperability across the market.</w:t>
      </w:r>
      <w:r w:rsidR="00FD5B84" w:rsidRPr="00A4582E">
        <w:rPr>
          <w:rStyle w:val="EndnoteReference"/>
          <w:bCs/>
        </w:rPr>
        <w:endnoteReference w:id="5"/>
      </w:r>
    </w:p>
    <w:p w14:paraId="31938463" w14:textId="77777777" w:rsidR="003775BE" w:rsidRPr="00A4582E" w:rsidRDefault="003775BE" w:rsidP="00D717AF">
      <w:pPr>
        <w:rPr>
          <w:bCs/>
        </w:rPr>
      </w:pPr>
    </w:p>
    <w:p w14:paraId="76416515" w14:textId="30C1712D" w:rsidR="00633006" w:rsidRPr="00A4582E" w:rsidRDefault="00633006" w:rsidP="00D717AF">
      <w:pPr>
        <w:rPr>
          <w:bCs/>
        </w:rPr>
      </w:pPr>
      <w:r w:rsidRPr="00A4582E">
        <w:rPr>
          <w:bCs/>
        </w:rPr>
        <w:t xml:space="preserve">They deploy or co-finance open-access </w:t>
      </w:r>
      <w:r w:rsidR="00627EC2" w:rsidRPr="00A4582E">
        <w:rPr>
          <w:bCs/>
        </w:rPr>
        <w:t>fiber</w:t>
      </w:r>
      <w:r w:rsidRPr="00A4582E">
        <w:rPr>
          <w:bCs/>
        </w:rPr>
        <w:t xml:space="preserve"> networks that complement national rollouts and fill coverage gaps.</w:t>
      </w:r>
      <w:r w:rsidR="003775BE" w:rsidRPr="00A4582E">
        <w:rPr>
          <w:bCs/>
        </w:rPr>
        <w:t xml:space="preserve"> </w:t>
      </w:r>
      <w:r w:rsidRPr="00A4582E">
        <w:rPr>
          <w:bCs/>
        </w:rPr>
        <w:t xml:space="preserve">Open access platforms supported by municipal companies are also emerging and in the process of being established. The </w:t>
      </w:r>
      <w:proofErr w:type="spellStart"/>
      <w:r w:rsidRPr="00A4582E">
        <w:rPr>
          <w:bCs/>
        </w:rPr>
        <w:t>Bundesnetzagentur</w:t>
      </w:r>
      <w:proofErr w:type="spellEnd"/>
      <w:r w:rsidRPr="00A4582E">
        <w:rPr>
          <w:bCs/>
        </w:rPr>
        <w:t xml:space="preserve"> supports voluntary open-access frameworks to ensure transparency and interoperability.</w:t>
      </w:r>
    </w:p>
    <w:p w14:paraId="04DB1B47" w14:textId="77777777" w:rsidR="00D717AF" w:rsidRPr="00A4582E" w:rsidRDefault="00D717AF" w:rsidP="00D717AF">
      <w:pPr>
        <w:rPr>
          <w:bCs/>
        </w:rPr>
      </w:pPr>
    </w:p>
    <w:p w14:paraId="04043DDC" w14:textId="31C5D5E6" w:rsidR="00D717AF" w:rsidRPr="00A4582E" w:rsidRDefault="00D717AF" w:rsidP="00D717AF">
      <w:pPr>
        <w:rPr>
          <w:b/>
        </w:rPr>
      </w:pPr>
      <w:r w:rsidRPr="00A4582E">
        <w:rPr>
          <w:b/>
        </w:rPr>
        <w:t>Austria</w:t>
      </w:r>
    </w:p>
    <w:p w14:paraId="3BF07BF1" w14:textId="77777777" w:rsidR="003A3037" w:rsidRPr="00A4582E" w:rsidRDefault="00D717AF" w:rsidP="00B326F2">
      <w:pPr>
        <w:rPr>
          <w:bCs/>
          <w:highlight w:val="yellow"/>
        </w:rPr>
      </w:pPr>
      <w:r w:rsidRPr="00A4582E">
        <w:rPr>
          <w:bCs/>
        </w:rPr>
        <w:t xml:space="preserve">Austria combines regional coordination with local execution. The </w:t>
      </w:r>
      <w:proofErr w:type="spellStart"/>
      <w:r w:rsidRPr="00A4582E">
        <w:rPr>
          <w:bCs/>
        </w:rPr>
        <w:t>nöGIG</w:t>
      </w:r>
      <w:proofErr w:type="spellEnd"/>
      <w:r w:rsidRPr="00A4582E">
        <w:rPr>
          <w:bCs/>
        </w:rPr>
        <w:t xml:space="preserve"> model in Lower Austria and Open Fiber Austria operate as neutral open-access wholesale platforms financed through long-term public-private partnerships. Regulation by RTR ensures non-discriminatory access and transparent wholesale pricing. </w:t>
      </w:r>
    </w:p>
    <w:p w14:paraId="6DB9A44D" w14:textId="77777777" w:rsidR="003A3037" w:rsidRPr="00A4582E" w:rsidRDefault="003A3037" w:rsidP="00B326F2">
      <w:pPr>
        <w:rPr>
          <w:bCs/>
          <w:highlight w:val="yellow"/>
        </w:rPr>
      </w:pPr>
    </w:p>
    <w:p w14:paraId="6454B4E7" w14:textId="31B69951" w:rsidR="00B326F2" w:rsidRPr="00A4582E" w:rsidRDefault="003A3037" w:rsidP="00B326F2">
      <w:pPr>
        <w:rPr>
          <w:bCs/>
        </w:rPr>
      </w:pPr>
      <w:r w:rsidRPr="00A4582E">
        <w:rPr>
          <w:bCs/>
        </w:rPr>
        <w:t>The cases from Sweden, Germany and Austria</w:t>
      </w:r>
      <w:r w:rsidR="00363DB8" w:rsidRPr="00A4582E">
        <w:rPr>
          <w:bCs/>
        </w:rPr>
        <w:t xml:space="preserve"> show</w:t>
      </w:r>
      <w:r w:rsidRPr="00A4582E">
        <w:rPr>
          <w:bCs/>
        </w:rPr>
        <w:t>s</w:t>
      </w:r>
      <w:r w:rsidR="00363DB8" w:rsidRPr="00A4582E">
        <w:rPr>
          <w:bCs/>
        </w:rPr>
        <w:t xml:space="preserve"> that open-access wholesale frameworks can operate effectively in smaller or rural Member States when supported by clear governance and financing models</w:t>
      </w:r>
      <w:r w:rsidR="00AE6756" w:rsidRPr="00A4582E">
        <w:rPr>
          <w:bCs/>
        </w:rPr>
        <w:t>.</w:t>
      </w:r>
    </w:p>
    <w:p w14:paraId="5BC2D722" w14:textId="77777777" w:rsidR="00B74912" w:rsidRPr="00A4582E" w:rsidRDefault="00B74912" w:rsidP="00B326F2"/>
    <w:p w14:paraId="50541BF6" w14:textId="5BAFFA81" w:rsidR="00FB4E8E" w:rsidRPr="00A4582E" w:rsidRDefault="00FB4E8E" w:rsidP="00966557">
      <w:pPr>
        <w:pStyle w:val="Heading2"/>
      </w:pPr>
      <w:r w:rsidRPr="00A4582E">
        <w:t xml:space="preserve">Chapter 2: </w:t>
      </w:r>
      <w:r w:rsidR="00966557" w:rsidRPr="00A4582E">
        <w:t>The</w:t>
      </w:r>
      <w:r w:rsidR="00E744E2" w:rsidRPr="00A4582E">
        <w:t xml:space="preserve"> role of local </w:t>
      </w:r>
      <w:r w:rsidR="00562737" w:rsidRPr="00A4582E">
        <w:t>actors in closing coverage gaps</w:t>
      </w:r>
    </w:p>
    <w:p w14:paraId="76A81FED" w14:textId="6FD6CF50" w:rsidR="00F507E1" w:rsidRPr="00A4582E" w:rsidRDefault="00F07FEA" w:rsidP="00492B55">
      <w:pPr>
        <w:pStyle w:val="Heading3"/>
        <w:rPr>
          <w:bCs/>
        </w:rPr>
      </w:pPr>
      <w:r w:rsidRPr="00A4582E">
        <w:t>2.1 European Deployment Patterns</w:t>
      </w:r>
    </w:p>
    <w:p w14:paraId="0E5267D9" w14:textId="64913BB8" w:rsidR="00F507E1" w:rsidRPr="00A4582E" w:rsidRDefault="00F507E1" w:rsidP="00F507E1">
      <w:r w:rsidRPr="00A4582E">
        <w:t>Over the past three decades, broadband infrastructure has evolved from a premium technology into a critical societal utility. In the 1990s and early 2000s, connectivity was driven by copper-based technologies such as dial-up and DSL, which provided the first generation of internet access to European households. However, these early solutions were limited in capacity and could not meet the demands of modern digital life. As digitalization deepened, with the rise of cloud computing, video streaming, and data-driven industries, the need for high-speed, reliable broadband became essential to economic and social development.</w:t>
      </w:r>
      <w:bookmarkStart w:id="1" w:name="_Ref213230634"/>
      <w:r w:rsidR="0054794F" w:rsidRPr="00A4582E">
        <w:rPr>
          <w:rStyle w:val="EndnoteReference"/>
        </w:rPr>
        <w:endnoteReference w:id="6"/>
      </w:r>
      <w:bookmarkEnd w:id="1"/>
      <w:r w:rsidR="00AC312E" w:rsidRPr="00A4582E">
        <w:rPr>
          <w:vertAlign w:val="superscript"/>
        </w:rPr>
        <w:t>,</w:t>
      </w:r>
      <w:bookmarkStart w:id="2" w:name="_Ref213230671"/>
      <w:r w:rsidR="008463E7" w:rsidRPr="00A4582E">
        <w:rPr>
          <w:rStyle w:val="EndnoteReference"/>
        </w:rPr>
        <w:endnoteReference w:id="7"/>
      </w:r>
      <w:bookmarkEnd w:id="2"/>
    </w:p>
    <w:p w14:paraId="20824921" w14:textId="77777777" w:rsidR="00F507E1" w:rsidRPr="00A4582E" w:rsidRDefault="00F507E1" w:rsidP="00F507E1"/>
    <w:p w14:paraId="13C84AEF" w14:textId="5C8A5D43" w:rsidR="007D7E71" w:rsidRPr="00A4582E" w:rsidRDefault="00F507E1" w:rsidP="00333DC1">
      <w:r w:rsidRPr="00A4582E">
        <w:t>From a broader historical and societal perspective, broadband rollout has mirrored Europe’s industrial and social transformation. Access to fast and reliable connectivity now underpins productivity growth, innovation, and competitiveness across all sectors</w:t>
      </w:r>
      <w:r w:rsidR="000E7D16" w:rsidRPr="00A4582E">
        <w:t xml:space="preserve">, </w:t>
      </w:r>
      <w:r w:rsidRPr="00A4582E">
        <w:t>from advanced manufacturing to agriculture and public services. It also serves as an enabler of inclusion, allowing citizens to participate in digital education, healthcare, and democratic processes. In this sense, broadband has become as fundamental to society as electricity or transport infrastructure.</w:t>
      </w:r>
      <w:r w:rsidR="00B37B2E" w:rsidRPr="00A4582E">
        <w:fldChar w:fldCharType="begin"/>
      </w:r>
      <w:r w:rsidR="00B37B2E" w:rsidRPr="00A4582E">
        <w:instrText xml:space="preserve"> NOTEREF _Ref213230634 \f </w:instrText>
      </w:r>
      <w:r w:rsidR="00B37B2E" w:rsidRPr="00A4582E">
        <w:fldChar w:fldCharType="separate"/>
      </w:r>
      <w:r w:rsidR="00333DC1" w:rsidRPr="00333DC1">
        <w:rPr>
          <w:rStyle w:val="EndnoteReference"/>
        </w:rPr>
        <w:t>5</w:t>
      </w:r>
      <w:r w:rsidR="00B37B2E" w:rsidRPr="00A4582E">
        <w:fldChar w:fldCharType="end"/>
      </w:r>
      <w:r w:rsidR="00CF5666" w:rsidRPr="00A4582E">
        <w:rPr>
          <w:vertAlign w:val="superscript"/>
        </w:rPr>
        <w:t>,</w:t>
      </w:r>
      <w:r w:rsidR="00B37B2E" w:rsidRPr="00A4582E">
        <w:fldChar w:fldCharType="begin"/>
      </w:r>
      <w:r w:rsidR="00B37B2E" w:rsidRPr="00A4582E">
        <w:instrText xml:space="preserve"> NOTEREF _Ref213230671 \f </w:instrText>
      </w:r>
      <w:r w:rsidR="00B37B2E" w:rsidRPr="00A4582E">
        <w:fldChar w:fldCharType="separate"/>
      </w:r>
      <w:r w:rsidR="00333DC1" w:rsidRPr="00333DC1">
        <w:rPr>
          <w:rStyle w:val="EndnoteReference"/>
        </w:rPr>
        <w:t>6</w:t>
      </w:r>
      <w:r w:rsidR="00B37B2E" w:rsidRPr="00A4582E">
        <w:fldChar w:fldCharType="end"/>
      </w:r>
      <w:r w:rsidR="00CF5666" w:rsidRPr="00A4582E">
        <w:rPr>
          <w:vertAlign w:val="superscript"/>
        </w:rPr>
        <w:t>,</w:t>
      </w:r>
      <w:r w:rsidR="00020ADA" w:rsidRPr="00A4582E">
        <w:rPr>
          <w:rStyle w:val="EndnoteReference"/>
        </w:rPr>
        <w:endnoteReference w:id="8"/>
      </w:r>
    </w:p>
    <w:p w14:paraId="77702AAF" w14:textId="77777777" w:rsidR="007D7E71" w:rsidRPr="00A4582E" w:rsidRDefault="007D7E71" w:rsidP="007D7E71"/>
    <w:p w14:paraId="0942E861" w14:textId="6C2A1E0A" w:rsidR="00855CF7" w:rsidRPr="00A4582E" w:rsidRDefault="00F507E1" w:rsidP="00855CF7">
      <w:r w:rsidRPr="00A4582E">
        <w:lastRenderedPageBreak/>
        <w:t xml:space="preserve">The transition from copper networks toward </w:t>
      </w:r>
      <w:r w:rsidR="00627EC2" w:rsidRPr="00A4582E">
        <w:t>fiber</w:t>
      </w:r>
      <w:r w:rsidRPr="00A4582E">
        <w:t xml:space="preserve">-optic and wireless broadband represents not only a technological leap but also a strategic one. </w:t>
      </w:r>
      <w:r w:rsidR="00627EC2" w:rsidRPr="00A4582E">
        <w:t>Fiber</w:t>
      </w:r>
      <w:r w:rsidRPr="00A4582E">
        <w:t xml:space="preserve"> networks provide </w:t>
      </w:r>
      <w:r w:rsidR="00BB37FA" w:rsidRPr="00A4582E">
        <w:t>very high capacity that can be upgraded with additional investment</w:t>
      </w:r>
      <w:r w:rsidRPr="00A4582E">
        <w:t xml:space="preserve">, forming the backbone of the “gigabit society.” </w:t>
      </w:r>
      <w:r w:rsidR="0008630B" w:rsidRPr="00A4582E">
        <w:t>Both HFC and 5G</w:t>
      </w:r>
      <w:r w:rsidRPr="00A4582E">
        <w:t xml:space="preserve"> enable new applications such as telemedicine, remote learning, smart grids, and connected industries. Moreover, fixed broadband plays a vital and often overlooked role in supporting mobile connectivity</w:t>
      </w:r>
      <w:r w:rsidR="0054180C" w:rsidRPr="00A4582E">
        <w:t>. M</w:t>
      </w:r>
      <w:r w:rsidRPr="00A4582E">
        <w:t xml:space="preserve">ost 5G base stations rely on </w:t>
      </w:r>
      <w:r w:rsidR="00627EC2" w:rsidRPr="00A4582E">
        <w:t>fiber</w:t>
      </w:r>
      <w:r w:rsidRPr="00A4582E">
        <w:t xml:space="preserve"> backhaul</w:t>
      </w:r>
      <w:r w:rsidR="0054180C" w:rsidRPr="00A4582E">
        <w:t xml:space="preserve">, </w:t>
      </w:r>
      <w:r w:rsidRPr="00A4582E">
        <w:t>making the two technologies interdependent rather than substitutable.</w:t>
      </w:r>
      <w:bookmarkStart w:id="3" w:name="_Ref214522089"/>
      <w:r w:rsidR="00B53068" w:rsidRPr="00A4582E">
        <w:rPr>
          <w:rStyle w:val="EndnoteReference"/>
        </w:rPr>
        <w:endnoteReference w:id="9"/>
      </w:r>
      <w:bookmarkEnd w:id="3"/>
    </w:p>
    <w:p w14:paraId="44FB4D2A" w14:textId="77777777" w:rsidR="00855CF7" w:rsidRPr="00A4582E" w:rsidRDefault="00855CF7" w:rsidP="00855CF7"/>
    <w:p w14:paraId="4ACFF9AE" w14:textId="0C1AFD48" w:rsidR="00057D6C" w:rsidRPr="00A4582E" w:rsidRDefault="00F507E1" w:rsidP="00333DC1">
      <w:r w:rsidRPr="00A4582E">
        <w:t>Today, Europe’s broadband ecosystem is characterized by a mix of technologies</w:t>
      </w:r>
      <w:r w:rsidR="003B36E0" w:rsidRPr="00A4582E">
        <w:t>.</w:t>
      </w:r>
      <w:r w:rsidRPr="00A4582E">
        <w:t xml:space="preserve"> </w:t>
      </w:r>
      <w:r w:rsidR="00627EC2" w:rsidRPr="00A4582E">
        <w:t>Fiber</w:t>
      </w:r>
      <w:r w:rsidRPr="00A4582E">
        <w:t xml:space="preserve">-to-the-home/building (FTTH/B), hybrid </w:t>
      </w:r>
      <w:r w:rsidR="00DD5F15" w:rsidRPr="00A4582E">
        <w:t>fiber</w:t>
      </w:r>
      <w:r w:rsidRPr="00A4582E">
        <w:t xml:space="preserve">-coaxial (HFC), 5G mobile, </w:t>
      </w:r>
      <w:r w:rsidR="00035DDE" w:rsidRPr="00A4582E">
        <w:t xml:space="preserve">satellite </w:t>
      </w:r>
      <w:r w:rsidRPr="00A4582E">
        <w:t>and fixed wireless access</w:t>
      </w:r>
      <w:r w:rsidR="00D44A49" w:rsidRPr="00A4582E">
        <w:t xml:space="preserve">, </w:t>
      </w:r>
      <w:r w:rsidRPr="00A4582E">
        <w:t>each contributing to coverage in different contexts.</w:t>
      </w:r>
      <w:r w:rsidR="004A167F" w:rsidRPr="00A4582E">
        <w:fldChar w:fldCharType="begin"/>
      </w:r>
      <w:r w:rsidR="004A167F" w:rsidRPr="00A4582E">
        <w:instrText xml:space="preserve"> NOTEREF _Ref213230634 \f </w:instrText>
      </w:r>
      <w:r w:rsidR="004A167F" w:rsidRPr="00A4582E">
        <w:fldChar w:fldCharType="separate"/>
      </w:r>
      <w:r w:rsidR="00333DC1" w:rsidRPr="00333DC1">
        <w:rPr>
          <w:rStyle w:val="EndnoteReference"/>
        </w:rPr>
        <w:t>5</w:t>
      </w:r>
      <w:r w:rsidR="004A167F" w:rsidRPr="00A4582E">
        <w:fldChar w:fldCharType="end"/>
      </w:r>
      <w:r w:rsidR="004A167F" w:rsidRPr="00A4582E">
        <w:rPr>
          <w:vertAlign w:val="superscript"/>
        </w:rPr>
        <w:t>,</w:t>
      </w:r>
      <w:r w:rsidR="00753CAB" w:rsidRPr="00A4582E">
        <w:rPr>
          <w:rStyle w:val="EndnoteReference"/>
        </w:rPr>
        <w:endnoteReference w:id="10"/>
      </w:r>
    </w:p>
    <w:p w14:paraId="0CB85A59" w14:textId="77777777" w:rsidR="00057D6C" w:rsidRPr="00A4582E" w:rsidRDefault="00057D6C" w:rsidP="00057D6C"/>
    <w:p w14:paraId="011628FA" w14:textId="7EECFAE9" w:rsidR="00057D6C" w:rsidRPr="00A4582E" w:rsidRDefault="00C61076" w:rsidP="00057D6C">
      <w:r w:rsidRPr="00A4582E">
        <w:t xml:space="preserve">From a societal and policy standpoint, the importance of broadband is widely </w:t>
      </w:r>
      <w:r w:rsidR="00627EC2" w:rsidRPr="00A4582E">
        <w:t>recognized</w:t>
      </w:r>
      <w:r w:rsidRPr="00A4582E">
        <w:t xml:space="preserve">. The European Commission and the OECD identify very high-capacity networks as prerequisites for competitiveness, sustainability and territorial cohesion. Ensuring universal access to high-performance digital infrastructures is therefore not only a technological or market challenge, but also a social and political imperative and a foundation for Europe’s digital and green transitions. This understanding encompasses multiple </w:t>
      </w:r>
      <w:r w:rsidR="009E29B2" w:rsidRPr="00A4582E">
        <w:t>technological</w:t>
      </w:r>
      <w:r w:rsidRPr="00A4582E">
        <w:t xml:space="preserve"> pathways, </w:t>
      </w:r>
      <w:r w:rsidR="00627EC2" w:rsidRPr="00A4582E">
        <w:t>recognizing</w:t>
      </w:r>
      <w:r w:rsidRPr="00A4582E">
        <w:t xml:space="preserve"> that different forms of high-capacity connectivity, including </w:t>
      </w:r>
      <w:r w:rsidR="00627EC2" w:rsidRPr="00A4582E">
        <w:t>fiber</w:t>
      </w:r>
      <w:r w:rsidRPr="00A4582E">
        <w:t>, cable, wireless and satellite-based solutions, can contribute to meeting long-term societal needs across diverse geographic and economic context</w:t>
      </w:r>
      <w:r w:rsidR="00570AF3" w:rsidRPr="00A4582E">
        <w:rPr>
          <w:rStyle w:val="EndnoteReference"/>
        </w:rPr>
        <w:endnoteReference w:id="11"/>
      </w:r>
      <w:r w:rsidR="00333DC1" w:rsidRPr="00494DAE">
        <w:rPr>
          <w:vertAlign w:val="superscript"/>
        </w:rPr>
        <w:t>,</w:t>
      </w:r>
      <w:r w:rsidRPr="00A4582E">
        <w:rPr>
          <w:rStyle w:val="EndnoteReference"/>
        </w:rPr>
        <w:endnoteReference w:id="12"/>
      </w:r>
      <w:r w:rsidR="00F507E1" w:rsidRPr="00A4582E">
        <w:t>.</w:t>
      </w:r>
    </w:p>
    <w:p w14:paraId="27AA6DE4" w14:textId="49292C84" w:rsidR="00057D6C" w:rsidRPr="00A4582E" w:rsidRDefault="00057D6C" w:rsidP="00057D6C"/>
    <w:p w14:paraId="504689F6" w14:textId="334B106B" w:rsidR="00F507E1" w:rsidRPr="00A4582E" w:rsidRDefault="00F911F4" w:rsidP="00214C66">
      <w:r w:rsidRPr="00A4582E">
        <w:t xml:space="preserve">Europe’s </w:t>
      </w:r>
      <w:r w:rsidR="00627EC2" w:rsidRPr="00A4582E">
        <w:t>fiber</w:t>
      </w:r>
      <w:r w:rsidRPr="00A4582E">
        <w:t xml:space="preserve"> rollout has accelerated significantly in recent years, yet large disparities persist between countries and regions. OECD data show that </w:t>
      </w:r>
      <w:r w:rsidR="00627EC2" w:rsidRPr="00A4582E">
        <w:t>fiber</w:t>
      </w:r>
      <w:r w:rsidRPr="00A4582E">
        <w:t xml:space="preserve"> represented 44.6 percent of all fixed broadband subscriptions in 2024, up from 41 percent the year befor</w:t>
      </w:r>
      <w:r w:rsidR="006001E1">
        <w:t>e.</w:t>
      </w:r>
      <w:r w:rsidR="003B7E72" w:rsidRPr="003B7E72">
        <w:rPr>
          <w:vertAlign w:val="superscript"/>
        </w:rPr>
        <w:t>8</w:t>
      </w:r>
      <w:r w:rsidR="006001E1">
        <w:t xml:space="preserve"> </w:t>
      </w:r>
      <w:r w:rsidRPr="00A4582E">
        <w:t>According to the FTTH Council Europe (2024), the EU-27 average for FTTH/B household coverage reached 64 percent, with 48 percent of rural inhabitants reached by full-</w:t>
      </w:r>
      <w:r w:rsidR="00627EC2" w:rsidRPr="00A4582E">
        <w:t>fiber</w:t>
      </w:r>
      <w:r w:rsidRPr="00A4582E">
        <w:t xml:space="preserve"> connectivity. However, the range remains wide, from more than 85 percent in Sweden and Spain to around 42 percent in Germany and 49 percent in Austria</w:t>
      </w:r>
      <w:r w:rsidR="006C0987" w:rsidRPr="00A4582E">
        <w:t>. These differences illustrate how national policy frameworks and investment strategies, together with the presence or absence of strong local actors, have contributed, among other factors, to differences in deployment outcomes across Europe.</w:t>
      </w:r>
      <w:r w:rsidR="00A56B0D" w:rsidRPr="00A4582E">
        <w:rPr>
          <w:rStyle w:val="EndnoteReference"/>
        </w:rPr>
        <w:endnoteReference w:id="13"/>
      </w:r>
      <w:r w:rsidRPr="00A4582E">
        <w:t xml:space="preserve"> </w:t>
      </w:r>
    </w:p>
    <w:p w14:paraId="3B1BB2EC" w14:textId="77777777" w:rsidR="00500860" w:rsidRPr="00A4582E" w:rsidRDefault="00500860" w:rsidP="00F07FEA"/>
    <w:p w14:paraId="09A2A5FF" w14:textId="15E4BA12" w:rsidR="008C0C2E" w:rsidRPr="00A4582E" w:rsidRDefault="00FB1E2D" w:rsidP="00EB12B4">
      <w:r w:rsidRPr="00A4582E">
        <w:t xml:space="preserve">These </w:t>
      </w:r>
      <w:r w:rsidR="00EB12B4" w:rsidRPr="00A4582E">
        <w:t xml:space="preserve">disparities </w:t>
      </w:r>
      <w:r w:rsidR="004408EC" w:rsidRPr="00A4582E">
        <w:t>reflect</w:t>
      </w:r>
      <w:r w:rsidR="00F07FEA" w:rsidRPr="00A4582E">
        <w:t xml:space="preserve"> differences in geography, market maturity, and the structure of national investment ecosystems. In mature markets such as Sweden, nearly universal </w:t>
      </w:r>
      <w:r w:rsidR="00B856D4" w:rsidRPr="00A4582E">
        <w:t>fiber</w:t>
      </w:r>
      <w:r w:rsidR="00F07FEA" w:rsidRPr="00A4582E">
        <w:t xml:space="preserve"> coverage has been achieved through a combination of public, cooperative, and private investment. In less mature markets, local and regional actors are now emerging as crucial complements to national rollouts, particularly in rural and semi-rural zones</w:t>
      </w:r>
      <w:bookmarkStart w:id="4" w:name="_Ref214522310"/>
      <w:r w:rsidR="00395118" w:rsidRPr="00A4582E">
        <w:rPr>
          <w:rStyle w:val="EndnoteReference"/>
        </w:rPr>
        <w:endnoteReference w:id="14"/>
      </w:r>
      <w:bookmarkEnd w:id="4"/>
      <w:r w:rsidR="00F07FEA" w:rsidRPr="00A4582E">
        <w:t>.</w:t>
      </w:r>
    </w:p>
    <w:p w14:paraId="770911C7" w14:textId="77777777" w:rsidR="00CA68FA" w:rsidRPr="00A4582E" w:rsidRDefault="00CA68FA" w:rsidP="00EB12B4"/>
    <w:p w14:paraId="28945EC5" w14:textId="172998B6" w:rsidR="00CA68FA" w:rsidRPr="00A4582E" w:rsidRDefault="00CA68FA" w:rsidP="00CA68FA">
      <w:pPr>
        <w:jc w:val="center"/>
        <w:rPr>
          <w:b/>
          <w:bCs/>
          <w:i/>
          <w:iCs/>
          <w:color w:val="E68723"/>
          <w:sz w:val="20"/>
          <w:szCs w:val="22"/>
        </w:rPr>
      </w:pPr>
      <w:r w:rsidRPr="00A4582E">
        <w:rPr>
          <w:b/>
          <w:bCs/>
          <w:i/>
          <w:iCs/>
          <w:color w:val="E68723"/>
          <w:sz w:val="20"/>
          <w:szCs w:val="22"/>
        </w:rPr>
        <w:t>The OECD has noted that municipal networks can play an important role in promoting infrastructure-based competition, particularly in areas where private investment has been limited.</w:t>
      </w:r>
    </w:p>
    <w:p w14:paraId="6FAC2773" w14:textId="77777777" w:rsidR="00F07FEA" w:rsidRPr="00A4582E" w:rsidRDefault="00F07FEA" w:rsidP="00F07FEA"/>
    <w:p w14:paraId="620DBBAB" w14:textId="41A52931" w:rsidR="00F07FEA" w:rsidRPr="00A4582E" w:rsidRDefault="00D726C6" w:rsidP="007A525B">
      <w:r w:rsidRPr="00A4582E">
        <w:t>By introducing an alternative network and separating infrastructure from services, such initiatives can stimulate further private investment and enhance innovation in broadband markets</w:t>
      </w:r>
      <w:r w:rsidR="00FA7079" w:rsidRPr="00A4582E">
        <w:t>.</w:t>
      </w:r>
      <w:r w:rsidR="00F52E2E" w:rsidRPr="00A4582E">
        <w:rPr>
          <w:rStyle w:val="EndnoteReference"/>
        </w:rPr>
        <w:endnoteReference w:id="15"/>
      </w:r>
      <w:r w:rsidR="00F07FEA" w:rsidRPr="00A4582E">
        <w:t xml:space="preserve"> Reliance on national incumbents alone </w:t>
      </w:r>
      <w:r w:rsidR="00B43D21" w:rsidRPr="00A4582E">
        <w:t>can</w:t>
      </w:r>
      <w:r w:rsidR="00F07FEA" w:rsidRPr="00A4582E">
        <w:t xml:space="preserve"> leave peripheral communities underserved. By contrast, the entrance of locally anchored, wholesale-oriented networks </w:t>
      </w:r>
      <w:r w:rsidR="00B43D21" w:rsidRPr="00A4582E">
        <w:t>can</w:t>
      </w:r>
      <w:r w:rsidR="00F07FEA" w:rsidRPr="00A4582E">
        <w:t xml:space="preserve"> help mitigate risk, align planning with community priorities, and speed deployment.</w:t>
      </w:r>
    </w:p>
    <w:p w14:paraId="505B3063" w14:textId="77777777" w:rsidR="00A95F82" w:rsidRPr="00A4582E" w:rsidRDefault="00A95F82" w:rsidP="007A525B"/>
    <w:p w14:paraId="43E5868F" w14:textId="5E2E4A95" w:rsidR="00F07FEA" w:rsidRPr="00A4582E" w:rsidRDefault="00F07FEA" w:rsidP="003B7E72">
      <w:r w:rsidRPr="00A4582E">
        <w:t xml:space="preserve">The </w:t>
      </w:r>
      <w:r w:rsidR="00DE7AD1" w:rsidRPr="00A4582E">
        <w:t>European Commission’s</w:t>
      </w:r>
      <w:r w:rsidRPr="00A4582E">
        <w:t xml:space="preserve"> Digital Decade Policy </w:t>
      </w:r>
      <w:proofErr w:type="spellStart"/>
      <w:r w:rsidRPr="00A4582E">
        <w:t>Programme</w:t>
      </w:r>
      <w:proofErr w:type="spellEnd"/>
      <w:r w:rsidRPr="00A4582E">
        <w:t xml:space="preserve"> 2030 sets a target </w:t>
      </w:r>
      <w:r w:rsidR="00DE7AD1" w:rsidRPr="00A4582E">
        <w:t>for</w:t>
      </w:r>
      <w:r w:rsidRPr="00A4582E">
        <w:t xml:space="preserve"> gigabit </w:t>
      </w:r>
      <w:r w:rsidR="00DE7AD1" w:rsidRPr="00A4582E">
        <w:t>connectivity</w:t>
      </w:r>
      <w:r w:rsidRPr="00A4582E">
        <w:t xml:space="preserve"> for all </w:t>
      </w:r>
      <w:r w:rsidR="00DE7AD1" w:rsidRPr="00A4582E">
        <w:t xml:space="preserve">EU </w:t>
      </w:r>
      <w:r w:rsidRPr="00A4582E">
        <w:t>households by 2030</w:t>
      </w:r>
      <w:r w:rsidR="00DE7AD1" w:rsidRPr="00A4582E">
        <w:t>. At</w:t>
      </w:r>
      <w:r w:rsidRPr="00A4582E">
        <w:t xml:space="preserve"> the </w:t>
      </w:r>
      <w:r w:rsidR="00DE7AD1" w:rsidRPr="00A4582E">
        <w:t xml:space="preserve">same time, the </w:t>
      </w:r>
      <w:r w:rsidRPr="00A4582E">
        <w:t xml:space="preserve">Commission </w:t>
      </w:r>
      <w:r w:rsidR="00B856D4" w:rsidRPr="00A4582E">
        <w:t>recognizes</w:t>
      </w:r>
      <w:r w:rsidR="00DE7AD1" w:rsidRPr="00A4582E">
        <w:t xml:space="preserve"> that significant</w:t>
      </w:r>
      <w:r w:rsidRPr="00A4582E">
        <w:t xml:space="preserve"> investment </w:t>
      </w:r>
      <w:r w:rsidR="00DE7AD1" w:rsidRPr="00A4582E">
        <w:t xml:space="preserve">and deployment </w:t>
      </w:r>
      <w:r w:rsidRPr="00A4582E">
        <w:t>gaps</w:t>
      </w:r>
      <w:r w:rsidR="00DE7AD1" w:rsidRPr="00A4582E">
        <w:t xml:space="preserve"> remain in achieving this objective.</w:t>
      </w:r>
      <w:r w:rsidR="0058394F" w:rsidRPr="00A4582E">
        <w:fldChar w:fldCharType="begin"/>
      </w:r>
      <w:r w:rsidR="0058394F" w:rsidRPr="00A4582E">
        <w:instrText xml:space="preserve"> NOTEREF _Ref214522310 \f </w:instrText>
      </w:r>
      <w:r w:rsidR="0058394F" w:rsidRPr="00A4582E">
        <w:fldChar w:fldCharType="separate"/>
      </w:r>
      <w:r w:rsidR="003B7E72" w:rsidRPr="003B7E72">
        <w:rPr>
          <w:rStyle w:val="EndnoteReference"/>
        </w:rPr>
        <w:t>13</w:t>
      </w:r>
      <w:r w:rsidR="0058394F" w:rsidRPr="00A4582E">
        <w:fldChar w:fldCharType="end"/>
      </w:r>
      <w:r w:rsidRPr="00A4582E">
        <w:t xml:space="preserve"> Locally owned or managed networks have become </w:t>
      </w:r>
      <w:r w:rsidR="00B14FCB" w:rsidRPr="00A4582E">
        <w:t xml:space="preserve">one of the </w:t>
      </w:r>
      <w:r w:rsidRPr="00A4582E">
        <w:t>key instruments in addressing these gaps</w:t>
      </w:r>
      <w:r w:rsidR="00CF1035" w:rsidRPr="00A4582E">
        <w:t xml:space="preserve">, </w:t>
      </w:r>
      <w:r w:rsidRPr="00A4582E">
        <w:t xml:space="preserve">aligning </w:t>
      </w:r>
      <w:r w:rsidR="00B856D4" w:rsidRPr="00A4582E">
        <w:t>fiber</w:t>
      </w:r>
      <w:r w:rsidRPr="00A4582E">
        <w:t xml:space="preserve"> rollout with municipal spatial planning, leveraging public assets, and fostering </w:t>
      </w:r>
      <w:r w:rsidR="003F4FD4" w:rsidRPr="00A4582E">
        <w:t xml:space="preserve">retail </w:t>
      </w:r>
      <w:r w:rsidRPr="00A4582E">
        <w:t>competition in areas where commercial incentives are weakest.</w:t>
      </w:r>
    </w:p>
    <w:p w14:paraId="5767E3F4" w14:textId="1DF1228E" w:rsidR="00F07FEA" w:rsidRPr="00A4582E" w:rsidRDefault="00F07FEA" w:rsidP="00F07FEA"/>
    <w:p w14:paraId="47A0F6D6" w14:textId="77777777" w:rsidR="00F07FEA" w:rsidRPr="00A4582E" w:rsidRDefault="00F07FEA" w:rsidP="00492B55">
      <w:pPr>
        <w:pStyle w:val="Heading3"/>
      </w:pPr>
      <w:r w:rsidRPr="00A4582E">
        <w:t>2.2 Mechanisms of Local Impact</w:t>
      </w:r>
    </w:p>
    <w:p w14:paraId="4B131B8A" w14:textId="79F462EB" w:rsidR="0094217A" w:rsidRPr="00A4582E" w:rsidRDefault="006D516C" w:rsidP="006D516C">
      <w:r w:rsidRPr="00A4582E">
        <w:t>In the Swedish context, an evaluation of broadband policy shows that demand is insufficient to justify investment from a purely market perspective in many very-remote regions</w:t>
      </w:r>
      <w:r w:rsidR="00011A99" w:rsidRPr="00A4582E">
        <w:t>.</w:t>
      </w:r>
      <w:r w:rsidR="00534581" w:rsidRPr="00A4582E">
        <w:rPr>
          <w:rStyle w:val="EndnoteReference"/>
        </w:rPr>
        <w:endnoteReference w:id="16"/>
      </w:r>
      <w:r w:rsidR="00011A99" w:rsidRPr="00A4582E">
        <w:t xml:space="preserve"> High civil-works costs, limited population density and long payback periods can make such projects commercially unattractive under conventional investment models. Municipal and utility-owned entities can operate under different conditions </w:t>
      </w:r>
      <w:r w:rsidR="00B015CC" w:rsidRPr="00A4582E">
        <w:t xml:space="preserve">with longer investment </w:t>
      </w:r>
      <w:r w:rsidR="009E29B2" w:rsidRPr="00A4582E">
        <w:t>horizons</w:t>
      </w:r>
      <w:r w:rsidR="00F73FDC" w:rsidRPr="00A4582E">
        <w:t xml:space="preserve">, </w:t>
      </w:r>
      <w:r w:rsidR="00AB6E46" w:rsidRPr="00A4582E">
        <w:t>where l</w:t>
      </w:r>
      <w:r w:rsidR="003C26BA" w:rsidRPr="00A4582E">
        <w:t xml:space="preserve">ong-term private infrastructure investors can in some cases </w:t>
      </w:r>
      <w:r w:rsidR="003C26BA" w:rsidRPr="00A4582E">
        <w:lastRenderedPageBreak/>
        <w:t>play a similar role.</w:t>
      </w:r>
      <w:r w:rsidR="009945DC" w:rsidRPr="00A4582E">
        <w:t xml:space="preserve"> </w:t>
      </w:r>
      <w:r w:rsidR="0094217A" w:rsidRPr="00A4582E">
        <w:t>These long-term investment horizons and community-aligned mandates become increasingly important as Europe faces structural challenges such as skills shortages, demographic change and growing demands on digital public services</w:t>
      </w:r>
      <w:r w:rsidR="002113BA" w:rsidRPr="00A4582E">
        <w:t>.</w:t>
      </w:r>
    </w:p>
    <w:p w14:paraId="70AF9763" w14:textId="77777777" w:rsidR="0031281C" w:rsidRPr="00A4582E" w:rsidRDefault="0031281C" w:rsidP="0031281C"/>
    <w:p w14:paraId="74455179" w14:textId="6F07BB81" w:rsidR="004C2311" w:rsidRPr="00A4582E" w:rsidRDefault="00B54698" w:rsidP="004C2311">
      <w:bookmarkStart w:id="5" w:name="_Ref214522373"/>
      <w:r w:rsidRPr="00A4582E">
        <w:t xml:space="preserve">Municipal and locally anchored network models have been applied in a range of contexts, reflecting different local objectives rather than a single deployment logic. In some cases, they have been used to extend connectivity in areas where deployment costs are high, while in others they have been designed to support infrastructure sharing and service-level competition in dense urban markets. Stockholm’s </w:t>
      </w:r>
      <w:proofErr w:type="spellStart"/>
      <w:r w:rsidRPr="00A4582E">
        <w:t>Stokab</w:t>
      </w:r>
      <w:proofErr w:type="spellEnd"/>
      <w:r w:rsidRPr="00A4582E">
        <w:t xml:space="preserve"> network is frequently cited as an example of a wholesale-only, municipally owned </w:t>
      </w:r>
      <w:r w:rsidR="00B856D4" w:rsidRPr="00A4582E">
        <w:t>fiber</w:t>
      </w:r>
      <w:r w:rsidRPr="00A4582E">
        <w:t xml:space="preserve"> network that has facilitated multiple service providers and efficient use of infrastructure in a high-density environment. Across contexts, locally anchored actors tend to tailor their investment and operating models</w:t>
      </w:r>
      <w:r w:rsidR="005B7D05">
        <w:t>,</w:t>
      </w:r>
      <w:r w:rsidRPr="00A4582E">
        <w:t xml:space="preserve"> to local conditions and policy priorities.</w:t>
      </w:r>
      <w:r w:rsidR="0018760F" w:rsidRPr="00A4582E">
        <w:rPr>
          <w:rStyle w:val="EndnoteReference"/>
        </w:rPr>
        <w:endnoteReference w:id="17"/>
      </w:r>
      <w:bookmarkEnd w:id="5"/>
    </w:p>
    <w:p w14:paraId="7BA4DE42" w14:textId="77777777" w:rsidR="004C2311" w:rsidRPr="00A4582E" w:rsidRDefault="004C2311" w:rsidP="004C2311"/>
    <w:p w14:paraId="67DE9924" w14:textId="06509B5F" w:rsidR="00E04A8E" w:rsidRPr="00A4582E" w:rsidRDefault="004C2311" w:rsidP="003B7E72">
      <w:r w:rsidRPr="00A4582E">
        <w:t xml:space="preserve">In the OECD area, </w:t>
      </w:r>
      <w:r w:rsidR="00B856D4" w:rsidRPr="00A4582E">
        <w:t>fiber</w:t>
      </w:r>
      <w:r w:rsidRPr="00A4582E">
        <w:t xml:space="preserve"> now represents 44.6 % of all fixed broadband connections, with four countries (Iceland ~91 %, Korea ~90 %, Spain ~88 %, Lithuania ~80 %) exceeding an 80 % share for </w:t>
      </w:r>
      <w:r w:rsidR="00B856D4" w:rsidRPr="00A4582E">
        <w:t>fiber</w:t>
      </w:r>
      <w:r w:rsidRPr="00A4582E">
        <w:t>-based connections.</w:t>
      </w:r>
      <w:r w:rsidR="00043752" w:rsidRPr="00A4582E">
        <w:fldChar w:fldCharType="begin"/>
      </w:r>
      <w:r w:rsidR="00043752" w:rsidRPr="00A4582E">
        <w:instrText xml:space="preserve"> NOTEREF _Ref214522089 \f </w:instrText>
      </w:r>
      <w:r w:rsidR="00043752" w:rsidRPr="00A4582E">
        <w:fldChar w:fldCharType="separate"/>
      </w:r>
      <w:r w:rsidR="003B7E72" w:rsidRPr="003B7E72">
        <w:rPr>
          <w:rStyle w:val="EndnoteReference"/>
        </w:rPr>
        <w:t>8</w:t>
      </w:r>
      <w:r w:rsidR="00043752" w:rsidRPr="00A4582E">
        <w:fldChar w:fldCharType="end"/>
      </w:r>
      <w:r w:rsidR="00AE3A46" w:rsidRPr="00A4582E">
        <w:t xml:space="preserve"> </w:t>
      </w:r>
      <w:r w:rsidRPr="00A4582E">
        <w:t>According to the FTTH Council Europe, by September 2023 approximately 64 % of European households (EU27+UK) were covered by FTTH/B networks, while 48 % of rural households had access to full-</w:t>
      </w:r>
      <w:r w:rsidR="00B856D4" w:rsidRPr="00A4582E">
        <w:t>fiber</w:t>
      </w:r>
      <w:r w:rsidRPr="00A4582E">
        <w:t xml:space="preserve"> connectivity (up ~7 percentage points year-on-year).</w:t>
      </w:r>
      <w:r w:rsidR="00663865" w:rsidRPr="00A4582E">
        <w:rPr>
          <w:rStyle w:val="EndnoteReference"/>
        </w:rPr>
        <w:endnoteReference w:id="18"/>
      </w:r>
      <w:r w:rsidR="00663865" w:rsidRPr="00A4582E">
        <w:t xml:space="preserve"> </w:t>
      </w:r>
      <w:r w:rsidRPr="00A4582E">
        <w:t>In terms of technology choice, fixed wireless access (FWA) is gaining traction in underserved regions: within the OECD area FWA subscriptions rose significantly and in some countries represent a non-negligible portion of fixed broadband.</w:t>
      </w:r>
      <w:r w:rsidR="00E73DAF" w:rsidRPr="00A4582E">
        <w:t xml:space="preserve"> </w:t>
      </w:r>
      <w:r w:rsidR="00E04A8E" w:rsidRPr="00A4582E">
        <w:t>Taken together, these developments indicate that while full-</w:t>
      </w:r>
      <w:r w:rsidR="00B856D4" w:rsidRPr="00A4582E">
        <w:t>fiber</w:t>
      </w:r>
      <w:r w:rsidR="00E04A8E" w:rsidRPr="00A4582E">
        <w:t xml:space="preserve"> remains the long-term backbone of fixed connectivity, a combination of technologies is increasingly being used to accelerate coverage expansion and close remaining access gaps, particularly in rural and low-density areas</w:t>
      </w:r>
      <w:r w:rsidR="00E73DAF" w:rsidRPr="00A4582E">
        <w:t>.</w:t>
      </w:r>
    </w:p>
    <w:p w14:paraId="6C8B7DF7" w14:textId="77777777" w:rsidR="00227D94" w:rsidRPr="00A4582E" w:rsidRDefault="00227D94" w:rsidP="00F07FEA">
      <w:pPr>
        <w:rPr>
          <w:b/>
        </w:rPr>
      </w:pPr>
    </w:p>
    <w:p w14:paraId="48E55A26" w14:textId="5D6FA05D" w:rsidR="005B29F0" w:rsidRPr="00A4582E" w:rsidRDefault="00F07FEA" w:rsidP="000A2005">
      <w:r w:rsidRPr="00A4582E">
        <w:t xml:space="preserve">Civil works </w:t>
      </w:r>
      <w:r w:rsidR="00250550" w:rsidRPr="00A4582E">
        <w:t>represent</w:t>
      </w:r>
      <w:r w:rsidRPr="00A4582E">
        <w:t xml:space="preserve"> the largest single cost </w:t>
      </w:r>
      <w:r w:rsidR="00250550" w:rsidRPr="00A4582E">
        <w:t xml:space="preserve">component </w:t>
      </w:r>
      <w:r w:rsidRPr="00A4582E">
        <w:t xml:space="preserve">in </w:t>
      </w:r>
      <w:r w:rsidR="006A345F" w:rsidRPr="00A4582E">
        <w:t xml:space="preserve">high-speed </w:t>
      </w:r>
      <w:r w:rsidR="00250550" w:rsidRPr="00A4582E">
        <w:t xml:space="preserve">broadband </w:t>
      </w:r>
      <w:r w:rsidRPr="00A4582E">
        <w:t>deployment</w:t>
      </w:r>
      <w:r w:rsidR="00250550" w:rsidRPr="00A4582E">
        <w:t>, sometimes accounting for up to 80 % of overall investment</w:t>
      </w:r>
      <w:r w:rsidR="00250550" w:rsidRPr="00A4582E">
        <w:rPr>
          <w:rStyle w:val="EndnoteReference"/>
          <w:vertAlign w:val="baseline"/>
        </w:rPr>
        <w:t xml:space="preserve"> </w:t>
      </w:r>
      <w:r w:rsidR="0018760F" w:rsidRPr="00A4582E">
        <w:rPr>
          <w:rStyle w:val="EndnoteReference"/>
        </w:rPr>
        <w:endnoteReference w:id="19"/>
      </w:r>
      <w:r w:rsidRPr="00A4582E">
        <w:t xml:space="preserve">. </w:t>
      </w:r>
      <w:r w:rsidR="00A7429E" w:rsidRPr="00A4582E">
        <w:t xml:space="preserve">Cost efficiencies can be achieved where broadband rollout is coordinated with other civil-works projects, such as roads, energy, water, or heating networks, through shared trenching and reduced surface restoration. </w:t>
      </w:r>
      <w:r w:rsidRPr="00A4582E">
        <w:t xml:space="preserve">Access to existing ducts and conduits, </w:t>
      </w:r>
      <w:r w:rsidRPr="00A4582E">
        <w:t>together with municipal control of rights-of-way, significantly lowers per-</w:t>
      </w:r>
      <w:r w:rsidR="00B856D4" w:rsidRPr="00A4582E">
        <w:t>meter</w:t>
      </w:r>
      <w:r w:rsidRPr="00A4582E">
        <w:t xml:space="preserve"> costs and shortens permitting cycles</w:t>
      </w:r>
      <w:r w:rsidR="00FC73B4" w:rsidRPr="00A4582E">
        <w:rPr>
          <w:rStyle w:val="EndnoteReference"/>
        </w:rPr>
        <w:endnoteReference w:id="20"/>
      </w:r>
      <w:r w:rsidRPr="00A4582E">
        <w:t>.</w:t>
      </w:r>
      <w:r w:rsidR="000A2005" w:rsidRPr="00A4582E">
        <w:t xml:space="preserve"> M</w:t>
      </w:r>
      <w:r w:rsidR="005B29F0" w:rsidRPr="00A4582E">
        <w:t xml:space="preserve">oreover, the timelines of utility infrastructure upgrades are not always aligned with broadband deployment objectives; where coordination is not carefully managed, reliance on joint civil-works planning can constrain flexibility or delay </w:t>
      </w:r>
      <w:r w:rsidR="00B856D4" w:rsidRPr="00A4582E">
        <w:t>fiber</w:t>
      </w:r>
      <w:r w:rsidR="005B29F0" w:rsidRPr="00A4582E">
        <w:t xml:space="preserve"> rollout rather than accelerate it.</w:t>
      </w:r>
    </w:p>
    <w:p w14:paraId="24CFAF10" w14:textId="77777777" w:rsidR="001D5816" w:rsidRPr="00A4582E" w:rsidRDefault="001D5816" w:rsidP="00F07FEA"/>
    <w:p w14:paraId="510C0BF5" w14:textId="7CEF687A" w:rsidR="00F07FEA" w:rsidRPr="00A4582E" w:rsidRDefault="008E0499" w:rsidP="00F07FEA">
      <w:r w:rsidRPr="00A4582E">
        <w:t>Coordinated local planning</w:t>
      </w:r>
      <w:r w:rsidR="006862F5" w:rsidRPr="00A4582E">
        <w:t xml:space="preserve"> does not eliminate the possibility of parallel network rollout</w:t>
      </w:r>
      <w:r w:rsidRPr="00A4582E">
        <w:t xml:space="preserve"> </w:t>
      </w:r>
      <w:r w:rsidR="006862F5" w:rsidRPr="00A4582E">
        <w:t>but can</w:t>
      </w:r>
      <w:r w:rsidRPr="00A4582E">
        <w:t xml:space="preserve"> reduce the risk of over-build and redundant civil works. By sequencing broadband rollout with other infrastructure projects, municipalities</w:t>
      </w:r>
      <w:r w:rsidR="002A502B" w:rsidRPr="00A4582E">
        <w:t>, other companies</w:t>
      </w:r>
      <w:r w:rsidRPr="00A4582E">
        <w:t xml:space="preserve"> and utilities can often reuse ducts, coordinate trenching, and </w:t>
      </w:r>
      <w:r w:rsidR="00B81723" w:rsidRPr="00A4582E">
        <w:t>prioritize</w:t>
      </w:r>
      <w:r w:rsidRPr="00A4582E">
        <w:t xml:space="preserve"> areas with genuine nee</w:t>
      </w:r>
      <w:r w:rsidR="00CD3490" w:rsidRPr="00A4582E">
        <w:t>d</w:t>
      </w:r>
      <w:r w:rsidR="00B81723" w:rsidRPr="00A4582E">
        <w:t>.</w:t>
      </w:r>
      <w:r w:rsidR="00C84E39" w:rsidRPr="00A4582E">
        <w:t xml:space="preserve"> Thereby boosting asset utilization and lowering lifetime costs. An essential prerequisite is that existing coordination formats of municipalities and public utilities are used by market players.</w:t>
      </w:r>
    </w:p>
    <w:p w14:paraId="24B2E182" w14:textId="77777777" w:rsidR="00F07FEA" w:rsidRPr="00A4582E" w:rsidRDefault="00F07FEA" w:rsidP="00F07FEA">
      <w:pPr>
        <w:rPr>
          <w:b/>
        </w:rPr>
      </w:pPr>
    </w:p>
    <w:p w14:paraId="7A4192B1" w14:textId="77777777" w:rsidR="00F07FEA" w:rsidRPr="00A4582E" w:rsidRDefault="00F07FEA" w:rsidP="00492B55">
      <w:pPr>
        <w:pStyle w:val="Heading3"/>
      </w:pPr>
      <w:r w:rsidRPr="00A4582E">
        <w:t>2.3 Country Evidence</w:t>
      </w:r>
    </w:p>
    <w:p w14:paraId="40A5930D" w14:textId="77777777" w:rsidR="00F07FEA" w:rsidRPr="00A4582E" w:rsidRDefault="00F07FEA" w:rsidP="00F07FEA">
      <w:pPr>
        <w:rPr>
          <w:b/>
        </w:rPr>
      </w:pPr>
      <w:r w:rsidRPr="00A4582E">
        <w:rPr>
          <w:b/>
        </w:rPr>
        <w:t>Sweden</w:t>
      </w:r>
    </w:p>
    <w:p w14:paraId="1EDD7164" w14:textId="6456B67F" w:rsidR="0088039C" w:rsidRPr="00A4582E" w:rsidRDefault="008121E3" w:rsidP="00261CF4">
      <w:r w:rsidRPr="00A4582E">
        <w:t xml:space="preserve">Sweden is widely regarded as one of Europe’s most advanced markets for decentralized, open-access </w:t>
      </w:r>
      <w:r w:rsidR="00B856D4" w:rsidRPr="00A4582E">
        <w:t>fiber</w:t>
      </w:r>
      <w:r w:rsidR="00652EF6" w:rsidRPr="00A4582E">
        <w:t>, with m</w:t>
      </w:r>
      <w:r w:rsidRPr="00A4582E">
        <w:t>unicipal city networks in ~200 municipalities</w:t>
      </w:r>
      <w:r w:rsidR="000B2467" w:rsidRPr="00A4582E">
        <w:t xml:space="preserve">. They </w:t>
      </w:r>
      <w:r w:rsidRPr="00A4582E">
        <w:t xml:space="preserve">collectively account for over half of FTTH subscriptions. </w:t>
      </w:r>
      <w:r w:rsidR="00F07FEA" w:rsidRPr="00A4582E">
        <w:t>The model’s scalability is evident in its consistency across diverse geographies</w:t>
      </w:r>
      <w:r w:rsidR="00171CB9" w:rsidRPr="00A4582E">
        <w:t xml:space="preserve">, both in cities and </w:t>
      </w:r>
      <w:r w:rsidR="00F07FEA" w:rsidRPr="00A4582E">
        <w:t>small rural municipalities</w:t>
      </w:r>
      <w:r w:rsidR="00261CF4" w:rsidRPr="00A4582E">
        <w:t xml:space="preserve">. </w:t>
      </w:r>
      <w:r w:rsidR="002B4A46" w:rsidRPr="00A4582E">
        <w:t xml:space="preserve">Located in </w:t>
      </w:r>
      <w:proofErr w:type="spellStart"/>
      <w:r w:rsidR="002B4A46" w:rsidRPr="00A4582E">
        <w:t>Västerbotten</w:t>
      </w:r>
      <w:proofErr w:type="spellEnd"/>
      <w:r w:rsidR="002B4A46" w:rsidRPr="00A4582E">
        <w:t xml:space="preserve"> County in northern Sweden, </w:t>
      </w:r>
      <w:proofErr w:type="spellStart"/>
      <w:r w:rsidR="002B4A46" w:rsidRPr="00A4582E">
        <w:t>Skellefteå</w:t>
      </w:r>
      <w:proofErr w:type="spellEnd"/>
      <w:r w:rsidR="002B4A46" w:rsidRPr="00A4582E">
        <w:t xml:space="preserve"> is a municipality </w:t>
      </w:r>
      <w:r w:rsidR="00362583" w:rsidRPr="00A4582E">
        <w:t>characterized</w:t>
      </w:r>
      <w:r w:rsidR="002B4A46" w:rsidRPr="00A4582E">
        <w:t xml:space="preserve"> by vast rural areas, forests, and long distances between settlements. Despite these geographical challenges, the municipally owned utility </w:t>
      </w:r>
      <w:proofErr w:type="spellStart"/>
      <w:r w:rsidR="002B4A46" w:rsidRPr="00A4582E">
        <w:t>Skellefteå</w:t>
      </w:r>
      <w:proofErr w:type="spellEnd"/>
      <w:r w:rsidR="002B4A46" w:rsidRPr="00A4582E">
        <w:t xml:space="preserve"> Kraft </w:t>
      </w:r>
      <w:proofErr w:type="spellStart"/>
      <w:r w:rsidR="002B4A46" w:rsidRPr="00A4582E">
        <w:t>Fibernät</w:t>
      </w:r>
      <w:proofErr w:type="spellEnd"/>
      <w:r w:rsidR="002B4A46" w:rsidRPr="00A4582E">
        <w:t xml:space="preserve"> has built one of the most extensive open-access </w:t>
      </w:r>
      <w:r w:rsidR="00362583" w:rsidRPr="00A4582E">
        <w:t>fiber</w:t>
      </w:r>
      <w:r w:rsidR="002B4A46" w:rsidRPr="00A4582E">
        <w:t xml:space="preserve"> networks in the region</w:t>
      </w:r>
      <w:r w:rsidR="0088039C" w:rsidRPr="00A4582E">
        <w:t xml:space="preserve">, </w:t>
      </w:r>
      <w:r w:rsidR="002B4A46" w:rsidRPr="00A4582E">
        <w:t>a clear example of how local ownership can overcome deployment barriers where commercial incentives are weak</w:t>
      </w:r>
      <w:r w:rsidR="0088039C" w:rsidRPr="00A4582E">
        <w:t>.</w:t>
      </w:r>
    </w:p>
    <w:p w14:paraId="1C0FECEB" w14:textId="77777777" w:rsidR="00A071E2" w:rsidRPr="00A4582E" w:rsidRDefault="00A071E2" w:rsidP="002B4A46"/>
    <w:p w14:paraId="1C02C113" w14:textId="65B23A08" w:rsidR="00353E81" w:rsidRPr="00A4582E" w:rsidRDefault="00A071E2" w:rsidP="008632B9">
      <w:r w:rsidRPr="00A4582E">
        <w:t xml:space="preserve">The company operates a municipal open-access network that today connects roughly 28,000 households and businesses, covering both the town of </w:t>
      </w:r>
      <w:proofErr w:type="spellStart"/>
      <w:r w:rsidRPr="00A4582E">
        <w:t>Skellefteå</w:t>
      </w:r>
      <w:proofErr w:type="spellEnd"/>
      <w:r w:rsidRPr="00A4582E">
        <w:t xml:space="preserve"> and surrounding rural communities.</w:t>
      </w:r>
      <w:r w:rsidR="00CC1859" w:rsidRPr="00A4582E">
        <w:rPr>
          <w:rStyle w:val="EndnoteReference"/>
        </w:rPr>
        <w:endnoteReference w:id="21"/>
      </w:r>
      <w:r w:rsidR="008632B9" w:rsidRPr="00A4582E">
        <w:t xml:space="preserve"> </w:t>
      </w:r>
      <w:r w:rsidR="00353E81" w:rsidRPr="00A4582E">
        <w:t>Through long-term investment planning and local coordination, the network has achieved coverage for more than 90 percent of households in the municipality.</w:t>
      </w:r>
    </w:p>
    <w:p w14:paraId="7C263DF0" w14:textId="77777777" w:rsidR="00CC1859" w:rsidRPr="00A4582E" w:rsidRDefault="00CC1859" w:rsidP="00353E81"/>
    <w:p w14:paraId="5A0F84E2" w14:textId="484C63BC" w:rsidR="00353E81" w:rsidRPr="00A4582E" w:rsidRDefault="00353E81" w:rsidP="00AC5118">
      <w:r w:rsidRPr="00A4582E">
        <w:t xml:space="preserve">A key success factor has been the municipality’s ability to align </w:t>
      </w:r>
      <w:r w:rsidR="00362583" w:rsidRPr="00A4582E">
        <w:t>fiber</w:t>
      </w:r>
      <w:r w:rsidRPr="00A4582E">
        <w:t xml:space="preserve"> rollout with other infrastructure projects and to leverage public broadband support to reach sparsely </w:t>
      </w:r>
      <w:r w:rsidRPr="00A4582E">
        <w:lastRenderedPageBreak/>
        <w:t>populated areas.</w:t>
      </w:r>
      <w:r w:rsidR="008D609F" w:rsidRPr="00A4582E">
        <w:t xml:space="preserve"> </w:t>
      </w:r>
      <w:r w:rsidR="001C4151" w:rsidRPr="00A4582E">
        <w:t xml:space="preserve">The Swedish Post and Telecom Authority (PTS), which has the mandate to promote broadband deployment across all parts of the country in line with the government’s broadband strategy, has decided to approve </w:t>
      </w:r>
      <w:proofErr w:type="spellStart"/>
      <w:r w:rsidR="001C4151" w:rsidRPr="00A4582E">
        <w:t>Skellefteå</w:t>
      </w:r>
      <w:proofErr w:type="spellEnd"/>
      <w:r w:rsidR="001C4151" w:rsidRPr="00A4582E">
        <w:t xml:space="preserve"> Kraft’s application for SEK 53 million to carry out network expansion in several areas within </w:t>
      </w:r>
      <w:proofErr w:type="spellStart"/>
      <w:r w:rsidR="001C4151" w:rsidRPr="00A4582E">
        <w:t>Skellefteå</w:t>
      </w:r>
      <w:proofErr w:type="spellEnd"/>
      <w:r w:rsidR="001C4151" w:rsidRPr="00A4582E">
        <w:t xml:space="preserve"> Municipality</w:t>
      </w:r>
      <w:r w:rsidR="0048721C" w:rsidRPr="00A4582E">
        <w:t xml:space="preserve">, mainly in </w:t>
      </w:r>
      <w:r w:rsidRPr="00A4582E">
        <w:t>rural zones.</w:t>
      </w:r>
      <w:r w:rsidR="00E61117" w:rsidRPr="00A4582E">
        <w:rPr>
          <w:rStyle w:val="EndnoteReference"/>
        </w:rPr>
        <w:endnoteReference w:id="22"/>
      </w:r>
    </w:p>
    <w:p w14:paraId="7A33BBC3" w14:textId="77777777" w:rsidR="00CC1859" w:rsidRPr="00A4582E" w:rsidRDefault="00CC1859" w:rsidP="00353E81"/>
    <w:p w14:paraId="7FC4DAF3" w14:textId="42A7D63E" w:rsidR="00353E81" w:rsidRPr="00A4582E" w:rsidRDefault="00353E81" w:rsidP="00353E81">
      <w:r w:rsidRPr="00A4582E">
        <w:t xml:space="preserve">As highlighted by Broadband Communities Magazine, </w:t>
      </w:r>
      <w:proofErr w:type="spellStart"/>
      <w:r w:rsidRPr="00A4582E">
        <w:t>Skellefteå</w:t>
      </w:r>
      <w:proofErr w:type="spellEnd"/>
      <w:r w:rsidRPr="00A4582E">
        <w:t xml:space="preserve"> Kraft </w:t>
      </w:r>
      <w:proofErr w:type="spellStart"/>
      <w:r w:rsidRPr="00A4582E">
        <w:t>Fibernät</w:t>
      </w:r>
      <w:proofErr w:type="spellEnd"/>
      <w:r w:rsidRPr="00A4582E">
        <w:t xml:space="preserve"> is one of several Swedish municipal utilities demonstrating how local ownership, open-access principles, and community reinvestment can sustain </w:t>
      </w:r>
      <w:r w:rsidR="00362583" w:rsidRPr="00A4582E">
        <w:t>fiber</w:t>
      </w:r>
      <w:r w:rsidRPr="00A4582E">
        <w:t xml:space="preserve"> expansion in less profitable markets.</w:t>
      </w:r>
      <w:r w:rsidR="001431AC" w:rsidRPr="00A4582E">
        <w:rPr>
          <w:rStyle w:val="EndnoteReference"/>
        </w:rPr>
        <w:endnoteReference w:id="23"/>
      </w:r>
      <w:r w:rsidRPr="00A4582E">
        <w:t xml:space="preserve"> This model contrasts with purely commercial operators by reinvesting surpluses locally, </w:t>
      </w:r>
      <w:r w:rsidR="00362583" w:rsidRPr="00A4582E">
        <w:t>prioritizing</w:t>
      </w:r>
      <w:r w:rsidRPr="00A4582E">
        <w:t xml:space="preserve"> universal coverage, and coordinating deployment through municipal planning processes.</w:t>
      </w:r>
      <w:r w:rsidR="001929DB" w:rsidRPr="00A4582E">
        <w:rPr>
          <w:rStyle w:val="EndnoteReference"/>
        </w:rPr>
        <w:endnoteReference w:id="24"/>
      </w:r>
      <w:r w:rsidRPr="00A4582E">
        <w:t xml:space="preserve"> The case exemplifies how municipal networks help close coverage gaps and secure digital inclusion across urban and rural Sweden.</w:t>
      </w:r>
    </w:p>
    <w:p w14:paraId="6FBD467C" w14:textId="77777777" w:rsidR="00F07FEA" w:rsidRPr="00A4582E" w:rsidRDefault="00F07FEA" w:rsidP="00F07FEA">
      <w:pPr>
        <w:rPr>
          <w:b/>
        </w:rPr>
      </w:pPr>
    </w:p>
    <w:p w14:paraId="7709E6E7" w14:textId="3FC7D182" w:rsidR="00F07FEA" w:rsidRPr="00A4582E" w:rsidRDefault="00F07FEA" w:rsidP="00F07FEA">
      <w:pPr>
        <w:rPr>
          <w:b/>
        </w:rPr>
      </w:pPr>
      <w:r w:rsidRPr="00A4582E">
        <w:rPr>
          <w:b/>
        </w:rPr>
        <w:t>Germany</w:t>
      </w:r>
    </w:p>
    <w:p w14:paraId="2E11E4BA" w14:textId="6FBEEB6A" w:rsidR="00A94DDD" w:rsidRPr="00A4582E" w:rsidRDefault="000C5F96" w:rsidP="00C84E39">
      <w:r w:rsidRPr="00A4582E">
        <w:t xml:space="preserve">Germany’s </w:t>
      </w:r>
      <w:r w:rsidR="00362583" w:rsidRPr="00A4582E">
        <w:t>fiber</w:t>
      </w:r>
      <w:r w:rsidRPr="00A4582E">
        <w:t xml:space="preserve"> rollout is transforming a market long </w:t>
      </w:r>
      <w:r w:rsidR="00362583" w:rsidRPr="00A4582E">
        <w:t>organized</w:t>
      </w:r>
      <w:r w:rsidRPr="00A4582E">
        <w:t xml:space="preserve"> around Deutsche Telekom’s copper network</w:t>
      </w:r>
      <w:r w:rsidR="00872C03" w:rsidRPr="00A4582E">
        <w:t>, and, to a significant extent, legacy HFC cable infrastructure</w:t>
      </w:r>
      <w:r w:rsidR="00EE0652" w:rsidRPr="00A4582E">
        <w:t>.</w:t>
      </w:r>
      <w:r w:rsidRPr="00A4582E">
        <w:t xml:space="preserve"> The transition to </w:t>
      </w:r>
      <w:r w:rsidR="00362583" w:rsidRPr="00A4582E">
        <w:t>fiber</w:t>
      </w:r>
      <w:r w:rsidRPr="00A4582E">
        <w:t xml:space="preserve"> creates space for stronger infrastructure-based competition.</w:t>
      </w:r>
      <w:r w:rsidR="00C84E39" w:rsidRPr="00A4582E">
        <w:t xml:space="preserve"> According to BREKO</w:t>
      </w:r>
      <w:r w:rsidR="00AA6FFF" w:rsidRPr="00A4582E">
        <w:t xml:space="preserve"> (</w:t>
      </w:r>
      <w:r w:rsidR="005862BD" w:rsidRPr="00A4582E">
        <w:t xml:space="preserve">The German Broadband Association, </w:t>
      </w:r>
      <w:r w:rsidR="009C16AF" w:rsidRPr="00A4582E">
        <w:t xml:space="preserve">leading </w:t>
      </w:r>
      <w:r w:rsidR="00362583" w:rsidRPr="00A4582E">
        <w:t>fiber</w:t>
      </w:r>
      <w:r w:rsidR="009C16AF" w:rsidRPr="00A4582E">
        <w:t xml:space="preserve"> optic association with more than 510 member companies, promoting competition in the German telecommunications market</w:t>
      </w:r>
      <w:r w:rsidR="00AA6FFF" w:rsidRPr="00A4582E">
        <w:t>)</w:t>
      </w:r>
      <w:r w:rsidR="00C84E39" w:rsidRPr="00A4582E">
        <w:t xml:space="preserve"> Market Analysis 2025, competitors to Deutsche Telekom account for 59 % of the 24.3 million </w:t>
      </w:r>
      <w:r w:rsidR="00362583" w:rsidRPr="00A4582E">
        <w:t>fiber</w:t>
      </w:r>
      <w:r w:rsidR="00C84E39" w:rsidRPr="00A4582E">
        <w:t xml:space="preserve"> lines classified as homes passed, 70 % of the 12.6 million homes connected, and 74 % of the 6.6 million homes activated</w:t>
      </w:r>
      <w:r w:rsidR="00E119FF" w:rsidRPr="00A4582E">
        <w:rPr>
          <w:rStyle w:val="EndnoteReference"/>
        </w:rPr>
        <w:endnoteReference w:id="25"/>
      </w:r>
      <w:r w:rsidRPr="00A4582E">
        <w:t xml:space="preserve"> .</w:t>
      </w:r>
      <w:r w:rsidR="00A94DDD" w:rsidRPr="00A4582E">
        <w:t xml:space="preserve"> The transition to </w:t>
      </w:r>
      <w:r w:rsidR="00362583" w:rsidRPr="00A4582E">
        <w:t>fiber</w:t>
      </w:r>
      <w:r w:rsidR="00A94DDD" w:rsidRPr="00A4582E">
        <w:t xml:space="preserve"> has opened space for infrastructure-based competition, with new actors notably</w:t>
      </w:r>
      <w:r w:rsidR="006A4457" w:rsidRPr="00A4582E">
        <w:t xml:space="preserve"> local public </w:t>
      </w:r>
      <w:r w:rsidR="00C65E7D" w:rsidRPr="00A4582E">
        <w:t>fiber</w:t>
      </w:r>
      <w:r w:rsidR="002F64B8" w:rsidRPr="00A4582E">
        <w:t>/</w:t>
      </w:r>
      <w:r w:rsidR="006A4457" w:rsidRPr="00A4582E">
        <w:t>utility companies</w:t>
      </w:r>
      <w:r w:rsidR="00A94DDD" w:rsidRPr="00A4582E">
        <w:t>, emerging as key enablers of broadband expansion, particularly in smaller towns and rural areas.</w:t>
      </w:r>
    </w:p>
    <w:p w14:paraId="3F2C06CD" w14:textId="77777777" w:rsidR="00EF1D5E" w:rsidRPr="00A4582E" w:rsidRDefault="00EF1D5E" w:rsidP="00A94DDD"/>
    <w:p w14:paraId="52652C4E" w14:textId="1614B9D1" w:rsidR="006C65F3" w:rsidRPr="00A4582E" w:rsidRDefault="00A94DDD" w:rsidP="00C41163">
      <w:r w:rsidRPr="00A4582E">
        <w:t xml:space="preserve">In Baden-Württemberg, the municipal utility </w:t>
      </w:r>
      <w:r w:rsidR="00CD78EF" w:rsidRPr="00A4582E">
        <w:t>company</w:t>
      </w:r>
      <w:r w:rsidR="0026113C" w:rsidRPr="00A4582E">
        <w:t xml:space="preserve"> Ludwigsburg-</w:t>
      </w:r>
      <w:proofErr w:type="spellStart"/>
      <w:r w:rsidR="0026113C" w:rsidRPr="00A4582E">
        <w:t>Kornwestheim</w:t>
      </w:r>
      <w:proofErr w:type="spellEnd"/>
      <w:r w:rsidR="007D5715" w:rsidRPr="00A4582E">
        <w:t xml:space="preserve"> (SWLB)</w:t>
      </w:r>
      <w:r w:rsidR="0026113C" w:rsidRPr="00A4582E">
        <w:t xml:space="preserve"> </w:t>
      </w:r>
      <w:r w:rsidRPr="00A4582E">
        <w:t xml:space="preserve">operates an extensive open-access </w:t>
      </w:r>
      <w:r w:rsidR="00C65E7D" w:rsidRPr="00A4582E">
        <w:t>fiber</w:t>
      </w:r>
      <w:r w:rsidRPr="00A4582E">
        <w:t xml:space="preserve"> network covering more than 28,000 residential and business units and around 2,000 km of </w:t>
      </w:r>
      <w:r w:rsidR="00C65E7D" w:rsidRPr="00A4582E">
        <w:t>fiber</w:t>
      </w:r>
      <w:r w:rsidRPr="00A4582E">
        <w:t xml:space="preserve"> cable. In cooperation with Deutsche Telekom, SWLB is expanding the network to the nearby municipality of </w:t>
      </w:r>
      <w:proofErr w:type="spellStart"/>
      <w:r w:rsidRPr="00A4582E">
        <w:t>Asperg</w:t>
      </w:r>
      <w:proofErr w:type="spellEnd"/>
      <w:r w:rsidRPr="00A4582E">
        <w:t>, connecting 7,000 additional households and businesses through a €15 million investment over three years. The partnership follows a “dual-operator” model</w:t>
      </w:r>
      <w:r w:rsidR="001B7C90" w:rsidRPr="00A4582E">
        <w:t xml:space="preserve">: the municipal </w:t>
      </w:r>
      <w:r w:rsidR="001B7C90" w:rsidRPr="00A4582E">
        <w:t xml:space="preserve">utility builds the passive infrastructure and operates fiber </w:t>
      </w:r>
      <w:r w:rsidR="00A326FF" w:rsidRPr="00A4582E">
        <w:t>networks</w:t>
      </w:r>
      <w:r w:rsidR="00A326FF" w:rsidRPr="00A4582E">
        <w:rPr>
          <w:rStyle w:val="CommentReference"/>
        </w:rPr>
        <w:t xml:space="preserve"> s</w:t>
      </w:r>
      <w:r w:rsidR="001B7C90" w:rsidRPr="00A4582E">
        <w:t>o it offers telecommunications services on its own infrastructure. At the same time, Deutsche Telekom leases passive fiber optic infrastructure in order to also offer connections and its digital products besides the utility’s ones. Deutsche Telekom also enables other providers to use the Ludwigsburg fiber optic network via wholesale contracts</w:t>
      </w:r>
      <w:r w:rsidRPr="00A4582E">
        <w:t>.</w:t>
      </w:r>
      <w:r w:rsidR="009A20F9" w:rsidRPr="00A4582E">
        <w:rPr>
          <w:rStyle w:val="EndnoteReference"/>
        </w:rPr>
        <w:endnoteReference w:id="26"/>
      </w:r>
      <w:r w:rsidR="00727C3C" w:rsidRPr="00A4582E">
        <w:t>,</w:t>
      </w:r>
      <w:r w:rsidR="00727C3C" w:rsidRPr="00A4582E">
        <w:rPr>
          <w:rStyle w:val="EndnoteReference"/>
        </w:rPr>
        <w:endnoteReference w:id="27"/>
      </w:r>
      <w:r w:rsidR="00727C3C" w:rsidRPr="00A4582E">
        <w:t>,</w:t>
      </w:r>
      <w:r w:rsidR="006C65F3" w:rsidRPr="00A4582E">
        <w:rPr>
          <w:rStyle w:val="EndnoteReference"/>
        </w:rPr>
        <w:endnoteReference w:id="28"/>
      </w:r>
    </w:p>
    <w:p w14:paraId="50876572" w14:textId="77777777" w:rsidR="006C65F3" w:rsidRPr="00A4582E" w:rsidRDefault="006C65F3" w:rsidP="006C65F3"/>
    <w:p w14:paraId="7FBE29F1" w14:textId="4FBCBE4C" w:rsidR="0049449D" w:rsidRPr="00A4582E" w:rsidRDefault="00A94DDD" w:rsidP="0049449D">
      <w:r w:rsidRPr="00A4582E">
        <w:t xml:space="preserve">This </w:t>
      </w:r>
      <w:r w:rsidR="006C65F3" w:rsidRPr="00A4582E">
        <w:t>case evidence</w:t>
      </w:r>
      <w:r w:rsidRPr="00A4582E">
        <w:t xml:space="preserve"> exemplifies how municipal ownership combined with open-access principles can accelerate deployment.</w:t>
      </w:r>
      <w:r w:rsidR="008F1764" w:rsidRPr="00A4582E">
        <w:rPr>
          <w:rStyle w:val="EndnoteReference"/>
        </w:rPr>
        <w:endnoteReference w:id="29"/>
      </w:r>
      <w:r w:rsidRPr="00A4582E">
        <w:t xml:space="preserve"> By integrating </w:t>
      </w:r>
      <w:r w:rsidR="00C65E7D" w:rsidRPr="00A4582E">
        <w:t>fiber</w:t>
      </w:r>
      <w:r w:rsidRPr="00A4582E">
        <w:t xml:space="preserve"> rollout with local infrastructure planning and using their public-utility status to coordinate civil works, </w:t>
      </w:r>
      <w:r w:rsidR="00CE44AD" w:rsidRPr="00A4582E">
        <w:t xml:space="preserve">local </w:t>
      </w:r>
      <w:r w:rsidR="00C65E7D" w:rsidRPr="00A4582E">
        <w:t>fiber</w:t>
      </w:r>
      <w:r w:rsidR="00CE44AD" w:rsidRPr="00A4582E">
        <w:t xml:space="preserve"> actors</w:t>
      </w:r>
      <w:r w:rsidRPr="00A4582E">
        <w:t xml:space="preserve"> shorten permitting cycles and reduce deployment costs.</w:t>
      </w:r>
      <w:r w:rsidR="00286720" w:rsidRPr="00A4582E">
        <w:t xml:space="preserve"> </w:t>
      </w:r>
      <w:r w:rsidRPr="00A4582E">
        <w:t>In parallel, federal gigabit funding</w:t>
      </w:r>
      <w:r w:rsidR="00286720" w:rsidRPr="00A4582E">
        <w:t xml:space="preserve"> s</w:t>
      </w:r>
      <w:r w:rsidRPr="00A4582E">
        <w:t xml:space="preserve">upports projects in financially weaker municipalities, further enabling public actors to extend </w:t>
      </w:r>
      <w:r w:rsidR="00C65E7D" w:rsidRPr="00A4582E">
        <w:t>fiber</w:t>
      </w:r>
      <w:r w:rsidRPr="00A4582E">
        <w:t xml:space="preserve"> into underserved regions.</w:t>
      </w:r>
      <w:r w:rsidR="0049449D" w:rsidRPr="00A4582E">
        <w:rPr>
          <w:rStyle w:val="EndnoteReference"/>
        </w:rPr>
        <w:endnoteReference w:id="30"/>
      </w:r>
    </w:p>
    <w:p w14:paraId="0A8CBE59" w14:textId="77777777" w:rsidR="0049449D" w:rsidRPr="00A4582E" w:rsidRDefault="0049449D" w:rsidP="0049449D"/>
    <w:p w14:paraId="6F100598" w14:textId="6CD59982" w:rsidR="00A94DDD" w:rsidRPr="00A4582E" w:rsidRDefault="00BC72E0" w:rsidP="00577851">
      <w:r w:rsidRPr="00A4582E">
        <w:t xml:space="preserve">The main parts of the </w:t>
      </w:r>
      <w:r w:rsidR="00C65E7D" w:rsidRPr="00A4582E">
        <w:t>fiber</w:t>
      </w:r>
      <w:r w:rsidRPr="00A4582E">
        <w:t xml:space="preserve"> networks of the local public utilities are built by their own, but also through such models, local public utilities are even more emerging as pivotal players in Germany’s broadband transformation</w:t>
      </w:r>
      <w:r w:rsidR="00A94DDD" w:rsidRPr="00A4582E">
        <w:t xml:space="preserve">. They combine local presence, infrastructure synergies, and open-access approaches to deliver fast inclusive </w:t>
      </w:r>
      <w:r w:rsidR="00C65E7D" w:rsidRPr="00A4582E">
        <w:t>fiber</w:t>
      </w:r>
      <w:r w:rsidR="00A94DDD" w:rsidRPr="00A4582E">
        <w:t xml:space="preserve"> deployment</w:t>
      </w:r>
      <w:r w:rsidR="00C767CA" w:rsidRPr="00A4582E">
        <w:t xml:space="preserve">, </w:t>
      </w:r>
      <w:r w:rsidR="00A94DDD" w:rsidRPr="00A4582E">
        <w:t>embodying the municipal network principle in a German context.</w:t>
      </w:r>
    </w:p>
    <w:p w14:paraId="1602CE89" w14:textId="77777777" w:rsidR="00A94DDD" w:rsidRPr="00A4582E" w:rsidRDefault="00A94DDD" w:rsidP="00130920"/>
    <w:p w14:paraId="5BDC7335" w14:textId="77777777" w:rsidR="003060CE" w:rsidRPr="00A4582E" w:rsidRDefault="00F278D3" w:rsidP="00130920">
      <w:r w:rsidRPr="00A4582E">
        <w:t>Furthermore, c</w:t>
      </w:r>
      <w:r w:rsidR="00130920" w:rsidRPr="00A4582E">
        <w:t>o-investment and reciprocal open access are material features of the market.</w:t>
      </w:r>
    </w:p>
    <w:p w14:paraId="4E300F12" w14:textId="1215DD78" w:rsidR="00130920" w:rsidRPr="00A4582E" w:rsidRDefault="003060CE" w:rsidP="00902428">
      <w:r w:rsidRPr="00A4582E">
        <w:t xml:space="preserve">Joint ventures plan, build, and operate </w:t>
      </w:r>
      <w:r w:rsidR="00C65E7D" w:rsidRPr="00A4582E">
        <w:t>fiber</w:t>
      </w:r>
      <w:r w:rsidRPr="00A4582E">
        <w:t xml:space="preserve"> while offering wholesale products, including </w:t>
      </w:r>
      <w:proofErr w:type="spellStart"/>
      <w:r w:rsidRPr="00A4582E">
        <w:t>Glasfaser</w:t>
      </w:r>
      <w:proofErr w:type="spellEnd"/>
      <w:r w:rsidRPr="00A4582E">
        <w:t xml:space="preserve"> </w:t>
      </w:r>
      <w:proofErr w:type="spellStart"/>
      <w:r w:rsidRPr="00A4582E">
        <w:t>Nordwest</w:t>
      </w:r>
      <w:proofErr w:type="spellEnd"/>
      <w:r w:rsidRPr="00A4582E">
        <w:t xml:space="preserve"> with EWE AG, </w:t>
      </w:r>
      <w:proofErr w:type="spellStart"/>
      <w:r w:rsidRPr="00A4582E">
        <w:t>Glasfaser</w:t>
      </w:r>
      <w:proofErr w:type="spellEnd"/>
      <w:r w:rsidRPr="00A4582E">
        <w:t xml:space="preserve"> Plus with IFM Global Infrastructure Fund, </w:t>
      </w:r>
      <w:proofErr w:type="spellStart"/>
      <w:r w:rsidRPr="00A4582E">
        <w:t>Unsere</w:t>
      </w:r>
      <w:proofErr w:type="spellEnd"/>
      <w:r w:rsidRPr="00A4582E">
        <w:t xml:space="preserve"> Grüne </w:t>
      </w:r>
      <w:proofErr w:type="spellStart"/>
      <w:r w:rsidRPr="00A4582E">
        <w:t>Glasfaser</w:t>
      </w:r>
      <w:proofErr w:type="spellEnd"/>
      <w:r w:rsidRPr="00A4582E">
        <w:t xml:space="preserve"> with Allianz, and OXG </w:t>
      </w:r>
      <w:proofErr w:type="spellStart"/>
      <w:r w:rsidRPr="00A4582E">
        <w:t>Glasfaser</w:t>
      </w:r>
      <w:proofErr w:type="spellEnd"/>
      <w:r w:rsidRPr="00A4582E">
        <w:t xml:space="preserve"> with Altice</w:t>
      </w:r>
      <w:r w:rsidR="00130920" w:rsidRPr="00A4582E">
        <w:t xml:space="preserve">. Deutsche Telekom has entered 26 partnerships with local public utilities in which the utility builds passive infrastructure and Deutsche Telekom may operate active components. In some </w:t>
      </w:r>
      <w:r w:rsidR="00933C10" w:rsidRPr="00A4582E">
        <w:t>cases,</w:t>
      </w:r>
      <w:r w:rsidR="00130920" w:rsidRPr="00A4582E">
        <w:t xml:space="preserve"> the municipal company operates its own active layer in parallel. </w:t>
      </w:r>
    </w:p>
    <w:p w14:paraId="24BF041A" w14:textId="77777777" w:rsidR="00130920" w:rsidRPr="00A4582E" w:rsidRDefault="00130920" w:rsidP="00130920"/>
    <w:p w14:paraId="01997CBF" w14:textId="631929C4" w:rsidR="00F07FEA" w:rsidRPr="00A4582E" w:rsidRDefault="00F07FEA" w:rsidP="00F07FEA">
      <w:pPr>
        <w:rPr>
          <w:b/>
        </w:rPr>
      </w:pPr>
      <w:r w:rsidRPr="00A4582E">
        <w:rPr>
          <w:b/>
        </w:rPr>
        <w:t>Austria</w:t>
      </w:r>
    </w:p>
    <w:p w14:paraId="72CA3752" w14:textId="6E93CAC7" w:rsidR="00883F69" w:rsidRPr="00A4582E" w:rsidRDefault="00F33736" w:rsidP="00FD21C2">
      <w:r w:rsidRPr="00A4582E">
        <w:t>Compared to its Nordic and Western European peers, Austria remains behind in full-</w:t>
      </w:r>
      <w:r w:rsidR="00C65E7D" w:rsidRPr="00A4582E">
        <w:t>fiber</w:t>
      </w:r>
      <w:r w:rsidRPr="00A4582E">
        <w:t xml:space="preserve"> deployment. </w:t>
      </w:r>
      <w:r w:rsidR="0018749A" w:rsidRPr="00A4582E">
        <w:t>Coverage data from</w:t>
      </w:r>
      <w:r w:rsidR="00CA29E7" w:rsidRPr="00A4582E">
        <w:t xml:space="preserve">  2024</w:t>
      </w:r>
      <w:r w:rsidR="00230B0C" w:rsidRPr="00A4582E">
        <w:t xml:space="preserve"> </w:t>
      </w:r>
      <w:r w:rsidR="0018749A" w:rsidRPr="00A4582E">
        <w:t>indicate that the country continues to lag the EU average</w:t>
      </w:r>
      <w:r w:rsidR="00AF37EA" w:rsidRPr="00A4582E">
        <w:rPr>
          <w:rStyle w:val="EndnoteReference"/>
        </w:rPr>
        <w:endnoteReference w:id="31"/>
      </w:r>
      <w:r w:rsidR="0018749A" w:rsidRPr="00A4582E">
        <w:t xml:space="preserve">, while take-up rates for </w:t>
      </w:r>
      <w:r w:rsidR="00C65E7D" w:rsidRPr="00A4582E">
        <w:t>fiber</w:t>
      </w:r>
      <w:r w:rsidR="0018749A" w:rsidRPr="00A4582E">
        <w:t xml:space="preserve"> subscriptions remain relatively low. The gap is largely explained by Austria’s</w:t>
      </w:r>
      <w:r w:rsidRPr="00A4582E">
        <w:t xml:space="preserve"> historical reliance on cable and mobile broadband, </w:t>
      </w:r>
      <w:r w:rsidRPr="00A4582E">
        <w:lastRenderedPageBreak/>
        <w:t xml:space="preserve">both of which have offered high speeds and delayed the business case for nationwide </w:t>
      </w:r>
      <w:r w:rsidR="00C65E7D" w:rsidRPr="00A4582E">
        <w:t>fiber</w:t>
      </w:r>
      <w:r w:rsidRPr="00A4582E">
        <w:t xml:space="preserve"> rollout.</w:t>
      </w:r>
    </w:p>
    <w:p w14:paraId="089974F7" w14:textId="77777777" w:rsidR="0018749A" w:rsidRPr="00A4582E" w:rsidRDefault="0018749A" w:rsidP="00FD21C2"/>
    <w:p w14:paraId="0EB74B84" w14:textId="781A087C" w:rsidR="00E85957" w:rsidRPr="00A4582E" w:rsidRDefault="00E85957" w:rsidP="00E85957">
      <w:r w:rsidRPr="00A4582E">
        <w:t xml:space="preserve">In line with the EU Digital Decade 2030 targets and the national Austrian Broadband Strategy 2030, Austria aims to provide gigabit-capable broadband access to all households by the end of the decade. </w:t>
      </w:r>
      <w:r w:rsidR="00C65E7D" w:rsidRPr="00A4582E">
        <w:t>Fiber</w:t>
      </w:r>
      <w:r w:rsidRPr="00A4582E">
        <w:t xml:space="preserve"> rollout has accelerated sharply in recent years. By the third quarter of 2024, 2.1 million households</w:t>
      </w:r>
      <w:r w:rsidR="001C2B97" w:rsidRPr="00A4582E">
        <w:t xml:space="preserve"> </w:t>
      </w:r>
      <w:r w:rsidRPr="00A4582E">
        <w:t>were passed by FTTB/H networks, up from less than 30 % in 2021. This progress underlines how Austria’s combination of public incentives and local execution has accelerated deployment and expanded coverage</w:t>
      </w:r>
      <w:r w:rsidR="00D47E81" w:rsidRPr="00A4582E">
        <w:t>.</w:t>
      </w:r>
      <w:bookmarkStart w:id="6" w:name="_Ref214542428"/>
      <w:r w:rsidR="00563443" w:rsidRPr="00A4582E">
        <w:rPr>
          <w:rStyle w:val="EndnoteReference"/>
        </w:rPr>
        <w:endnoteReference w:id="32"/>
      </w:r>
      <w:bookmarkEnd w:id="6"/>
    </w:p>
    <w:p w14:paraId="1C584C70" w14:textId="77777777" w:rsidR="00E85957" w:rsidRPr="00A4582E" w:rsidRDefault="00E85957" w:rsidP="00FD21C2"/>
    <w:p w14:paraId="5F9CE1B1" w14:textId="77777777" w:rsidR="00FD21C2" w:rsidRPr="00A4582E" w:rsidRDefault="00F33736" w:rsidP="00FD21C2">
      <w:r w:rsidRPr="00A4582E">
        <w:t xml:space="preserve">To accelerate deployment and address persistent coverage gaps in rural and semi-rural areas, Austria launched the </w:t>
      </w:r>
      <w:proofErr w:type="spellStart"/>
      <w:r w:rsidRPr="00A4582E">
        <w:t>Breitband</w:t>
      </w:r>
      <w:proofErr w:type="spellEnd"/>
      <w:r w:rsidRPr="00A4582E">
        <w:t xml:space="preserve"> Austria 2030 (BBA 2030) </w:t>
      </w:r>
      <w:proofErr w:type="spellStart"/>
      <w:r w:rsidRPr="00A4582E">
        <w:t>programme</w:t>
      </w:r>
      <w:proofErr w:type="spellEnd"/>
      <w:r w:rsidRPr="00A4582E">
        <w:t>. The initiative channels federal and EU funds into gigabit-capable infrastructure in underserved regions, with coordination led by the Federal Ministry for Climate Action, Environment, Energy, Mobility, Innovation and Technology (BMK) and administration by the Austrian Research Promotion Agency (FFG).</w:t>
      </w:r>
      <w:bookmarkStart w:id="7" w:name="_Ref214542953"/>
      <w:r w:rsidR="00FD21C2" w:rsidRPr="00A4582E">
        <w:rPr>
          <w:rStyle w:val="EndnoteReference"/>
        </w:rPr>
        <w:endnoteReference w:id="33"/>
      </w:r>
      <w:bookmarkEnd w:id="7"/>
    </w:p>
    <w:p w14:paraId="56F4D040" w14:textId="77777777" w:rsidR="00A02CF0" w:rsidRPr="00A4582E" w:rsidRDefault="00A02CF0" w:rsidP="00FD21C2"/>
    <w:p w14:paraId="0D4BE53B" w14:textId="0F7649DD" w:rsidR="00E85957" w:rsidRPr="00A4582E" w:rsidRDefault="00F33736" w:rsidP="003B7E72">
      <w:r w:rsidRPr="00A4582E">
        <w:t>BBA 2030 is structured around several funding tracks</w:t>
      </w:r>
      <w:r w:rsidR="00FD21C2" w:rsidRPr="00A4582E">
        <w:t xml:space="preserve">, </w:t>
      </w:r>
      <w:r w:rsidRPr="00A4582E">
        <w:t>that jointly support broadband expansion, open-access infrastructure, and the connection of socio-economic priority areas. Eligible applicants include municipalities, regional utilities, cooperative networks, and private operators, with grants covering up to 65 percent of capital expenditure where market failure is demonstrated.</w:t>
      </w:r>
      <w:r w:rsidR="00CE49B1" w:rsidRPr="00A4582E">
        <w:fldChar w:fldCharType="begin"/>
      </w:r>
      <w:r w:rsidR="00CE49B1" w:rsidRPr="00A4582E">
        <w:instrText xml:space="preserve"> NOTEREF _Ref214542953 \f </w:instrText>
      </w:r>
      <w:r w:rsidR="00CE49B1" w:rsidRPr="00A4582E">
        <w:fldChar w:fldCharType="separate"/>
      </w:r>
      <w:r w:rsidR="003B7E72" w:rsidRPr="003B7E72">
        <w:rPr>
          <w:rStyle w:val="EndnoteReference"/>
        </w:rPr>
        <w:t>32</w:t>
      </w:r>
      <w:r w:rsidR="00CE49B1" w:rsidRPr="00A4582E">
        <w:fldChar w:fldCharType="end"/>
      </w:r>
    </w:p>
    <w:p w14:paraId="6C8A5E89" w14:textId="77777777" w:rsidR="00883F69" w:rsidRPr="00A4582E" w:rsidRDefault="00883F69" w:rsidP="00917FAF"/>
    <w:p w14:paraId="4488BF8D" w14:textId="21F8F50F" w:rsidR="009F05F0" w:rsidRPr="00A4582E" w:rsidRDefault="00F33736" w:rsidP="009F05F0">
      <w:r w:rsidRPr="00A4582E">
        <w:t xml:space="preserve">Municipalities play a key enabling role in translating national funding into concrete deployment. Local authorities coordinate planning, permitting, and trenching activities and often </w:t>
      </w:r>
      <w:r w:rsidR="00C65E7D" w:rsidRPr="00A4582E">
        <w:t>synchronize</w:t>
      </w:r>
      <w:r w:rsidRPr="00A4582E">
        <w:t xml:space="preserve"> broadband construction with roadworks or energy-grid upgrades. According to the European Commission’s country profile, BBA 2030 projects now span over 1 500 municipalities, demonstrating that local participation is essential to the </w:t>
      </w:r>
      <w:r w:rsidR="00E266E9" w:rsidRPr="00A4582E">
        <w:t>program’s</w:t>
      </w:r>
      <w:r w:rsidRPr="00A4582E">
        <w:t xml:space="preserve"> reach and efficiency.</w:t>
      </w:r>
      <w:r w:rsidR="009F05F0" w:rsidRPr="00A4582E">
        <w:rPr>
          <w:rStyle w:val="EndnoteReference"/>
        </w:rPr>
        <w:endnoteReference w:id="34"/>
      </w:r>
    </w:p>
    <w:p w14:paraId="6A6E0BCB" w14:textId="77777777" w:rsidR="00883F69" w:rsidRPr="00A4582E" w:rsidRDefault="00883F69" w:rsidP="009F05F0"/>
    <w:p w14:paraId="215762DD" w14:textId="70563B9E" w:rsidR="0006638F" w:rsidRPr="00A4582E" w:rsidRDefault="00F33736" w:rsidP="00B85CB9">
      <w:r w:rsidRPr="00A4582E">
        <w:t xml:space="preserve">A leading example is </w:t>
      </w:r>
      <w:proofErr w:type="spellStart"/>
      <w:r w:rsidRPr="00A4582E">
        <w:t>nöGIG</w:t>
      </w:r>
      <w:proofErr w:type="spellEnd"/>
      <w:r w:rsidRPr="00A4582E">
        <w:t xml:space="preserve"> in Lower Austria, a regionally owned company that partners with municipalities to deploy open-access </w:t>
      </w:r>
      <w:r w:rsidR="00C65E7D" w:rsidRPr="00A4582E">
        <w:t>fiber</w:t>
      </w:r>
      <w:r w:rsidRPr="00A4582E">
        <w:t xml:space="preserve"> in rural communities. The project shows how combining federal funding, regional coordination, and municipal execution enables Austria to expand high-capacity </w:t>
      </w:r>
      <w:r w:rsidRPr="00A4582E">
        <w:t>broadband</w:t>
      </w:r>
      <w:r w:rsidR="009F05F0" w:rsidRPr="00A4582E">
        <w:t xml:space="preserve">, </w:t>
      </w:r>
      <w:r w:rsidRPr="00A4582E">
        <w:t>while preserving local ownership of critical infrastructure</w:t>
      </w:r>
      <w:r w:rsidR="00982562" w:rsidRPr="00A4582E">
        <w:t>.</w:t>
      </w:r>
      <w:bookmarkStart w:id="8" w:name="_Ref214542300"/>
      <w:r w:rsidR="00982562" w:rsidRPr="00A4582E">
        <w:rPr>
          <w:rStyle w:val="EndnoteReference"/>
        </w:rPr>
        <w:endnoteReference w:id="35"/>
      </w:r>
      <w:bookmarkEnd w:id="8"/>
    </w:p>
    <w:p w14:paraId="680E6EFF" w14:textId="77777777" w:rsidR="00B85CB9" w:rsidRPr="00A4582E" w:rsidRDefault="00B85CB9" w:rsidP="00B85CB9"/>
    <w:p w14:paraId="381C4653" w14:textId="75329681" w:rsidR="0006638F" w:rsidRPr="00A4582E" w:rsidRDefault="0006638F" w:rsidP="0006638F">
      <w:pPr>
        <w:pStyle w:val="Heading2"/>
      </w:pPr>
      <w:r w:rsidRPr="00A4582E">
        <w:t>Chapter 3. The</w:t>
      </w:r>
      <w:r w:rsidR="00016F35" w:rsidRPr="00A4582E">
        <w:t xml:space="preserve"> </w:t>
      </w:r>
      <w:r w:rsidR="0001551B" w:rsidRPr="00A4582E">
        <w:t xml:space="preserve">Open-access </w:t>
      </w:r>
      <w:r w:rsidR="00F651F2" w:rsidRPr="00A4582E">
        <w:t>wholesale</w:t>
      </w:r>
      <w:r w:rsidR="0001551B" w:rsidRPr="00A4582E">
        <w:t xml:space="preserve"> model</w:t>
      </w:r>
      <w:r w:rsidRPr="00A4582E">
        <w:t>: Enabling Competition and Efficient Market Structures</w:t>
      </w:r>
    </w:p>
    <w:p w14:paraId="0E4F0998" w14:textId="77777777" w:rsidR="009953F5" w:rsidRPr="00A4582E" w:rsidRDefault="009953F5" w:rsidP="00492B55">
      <w:pPr>
        <w:pStyle w:val="Heading3"/>
      </w:pPr>
      <w:r w:rsidRPr="00A4582E">
        <w:t>3.1 Definition and Rationale</w:t>
      </w:r>
    </w:p>
    <w:p w14:paraId="4EA4E11B" w14:textId="0847BB6F" w:rsidR="00F907D9" w:rsidRPr="00A4582E" w:rsidRDefault="00F907D9" w:rsidP="009953F5">
      <w:r w:rsidRPr="00A4582E">
        <w:t xml:space="preserve">In many European markets, and particularly in the context of municipal and city networks, open-access wholesale has emerged as a commonly used model for </w:t>
      </w:r>
      <w:r w:rsidR="00C65E7D" w:rsidRPr="00A4582E">
        <w:t>organizing</w:t>
      </w:r>
      <w:r w:rsidRPr="00A4582E">
        <w:t xml:space="preserve"> </w:t>
      </w:r>
      <w:r w:rsidR="00DD5F15" w:rsidRPr="00A4582E">
        <w:t>fiber</w:t>
      </w:r>
      <w:r w:rsidRPr="00A4582E">
        <w:t xml:space="preserve"> infrastructure in a way that supports both local policy objectives and effective market competition. While not all city networks apply this model, and while open access is also used by private and incumbent operators, it has become a defining reference point for how locally owned </w:t>
      </w:r>
      <w:r w:rsidR="00C65E7D" w:rsidRPr="00A4582E">
        <w:t>fiber</w:t>
      </w:r>
      <w:r w:rsidRPr="00A4582E">
        <w:t xml:space="preserve"> infrastructure can be structured to serve multiple stakeholders.</w:t>
      </w:r>
    </w:p>
    <w:p w14:paraId="296BED0E" w14:textId="77777777" w:rsidR="00F907D9" w:rsidRPr="00A4582E" w:rsidRDefault="00F907D9" w:rsidP="009953F5"/>
    <w:p w14:paraId="25F303C5" w14:textId="1F536F43" w:rsidR="00183495" w:rsidRPr="00A4582E" w:rsidRDefault="00183495" w:rsidP="009953F5">
      <w:r w:rsidRPr="00A4582E">
        <w:t xml:space="preserve">Open-access wholesale describes a market model in which the network owner provides wholesale capacity to multiple service providers on equal, transparent and non-discriminatory terms. It combines the commercial function of wholesale with the governance principle of open access, </w:t>
      </w:r>
      <w:r w:rsidR="00D87BB2" w:rsidRPr="00A4582E">
        <w:t>enabling</w:t>
      </w:r>
      <w:r w:rsidRPr="00A4582E">
        <w:t xml:space="preserve"> that competition and innovation </w:t>
      </w:r>
      <w:r w:rsidR="00D87BB2" w:rsidRPr="00A4582E">
        <w:t xml:space="preserve">can </w:t>
      </w:r>
      <w:r w:rsidRPr="00A4582E">
        <w:t xml:space="preserve">occur at the service layer rather than through duplicative infrastructure. Within this framework, some operators adopt a wholesale-only structure, focusing exclusively on wholesale and foregoing retail activities to guarantee neutrality by design, although open access can also be achieved within vertically integrated </w:t>
      </w:r>
      <w:r w:rsidR="00C65E7D" w:rsidRPr="00A4582E">
        <w:t>organizations</w:t>
      </w:r>
      <w:r w:rsidRPr="00A4582E">
        <w:t xml:space="preserve"> provided that transparency and equal treatment are maintained. By separating infrastructure management from retail competition in functional or </w:t>
      </w:r>
      <w:r w:rsidR="00C65E7D" w:rsidRPr="00A4582E">
        <w:t>behavioral</w:t>
      </w:r>
      <w:r w:rsidRPr="00A4582E">
        <w:t xml:space="preserve"> terms, open-access wholesale models remove incentives for discrimination and enable a fair and efficient broadband market.</w:t>
      </w:r>
    </w:p>
    <w:p w14:paraId="597949B9" w14:textId="77777777" w:rsidR="001F427F" w:rsidRPr="00A4582E" w:rsidRDefault="001F427F" w:rsidP="001F427F"/>
    <w:p w14:paraId="22C12D49" w14:textId="3479F20B" w:rsidR="00081D7A" w:rsidRPr="00A4582E" w:rsidRDefault="00081D7A" w:rsidP="00081D7A">
      <w:r w:rsidRPr="00A4582E">
        <w:t>The open-access wholesale model separates infrastructure ownership, network operation, and retail service delivery. Figure 2 illustrates the typical structure and value flows between these layers, showing how neutrality at the wholesale level enables multiple service providers to reach end users through a shared infrastructure.</w:t>
      </w:r>
    </w:p>
    <w:p w14:paraId="0D792CA7" w14:textId="77777777" w:rsidR="00BB390C" w:rsidRPr="00A4582E" w:rsidRDefault="00BB390C" w:rsidP="00081D7A"/>
    <w:p w14:paraId="7053C832" w14:textId="4F0F185A" w:rsidR="0032134E" w:rsidRPr="00A4582E" w:rsidRDefault="0032134E" w:rsidP="00BB390C"/>
    <w:p w14:paraId="1A9B6CD3" w14:textId="684ABD73" w:rsidR="002F4E99" w:rsidRPr="00A4582E" w:rsidRDefault="002F4E99" w:rsidP="00BB390C"/>
    <w:p w14:paraId="363BCEB8" w14:textId="1D63432B" w:rsidR="000F1C8D" w:rsidRPr="00A4582E" w:rsidRDefault="000F1C8D" w:rsidP="00BB390C">
      <w:r w:rsidRPr="00A4582E">
        <w:rPr>
          <w:noProof/>
        </w:rPr>
        <w:drawing>
          <wp:inline distT="0" distB="0" distL="0" distR="0" wp14:anchorId="04147A01" wp14:editId="45004CE5">
            <wp:extent cx="3022565" cy="2684585"/>
            <wp:effectExtent l="0" t="0" r="6985" b="1905"/>
            <wp:docPr id="548881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81529" name=""/>
                    <pic:cNvPicPr/>
                  </pic:nvPicPr>
                  <pic:blipFill rotWithShape="1">
                    <a:blip r:embed="rId21">
                      <a:extLst>
                        <a:ext uri="{96DAC541-7B7A-43D3-8B79-37D633B846F1}">
                          <asvg:svgBlip xmlns:asvg="http://schemas.microsoft.com/office/drawing/2016/SVG/main" r:embed="rId22"/>
                        </a:ext>
                      </a:extLst>
                    </a:blip>
                    <a:srcRect l="27882" t="13469" r="25885" b="13529"/>
                    <a:stretch>
                      <a:fillRect/>
                    </a:stretch>
                  </pic:blipFill>
                  <pic:spPr bwMode="auto">
                    <a:xfrm>
                      <a:off x="0" y="0"/>
                      <a:ext cx="3041180" cy="2701118"/>
                    </a:xfrm>
                    <a:prstGeom prst="rect">
                      <a:avLst/>
                    </a:prstGeom>
                    <a:ln>
                      <a:noFill/>
                    </a:ln>
                    <a:extLst>
                      <a:ext uri="{53640926-AAD7-44D8-BBD7-CCE9431645EC}">
                        <a14:shadowObscured xmlns:a14="http://schemas.microsoft.com/office/drawing/2010/main"/>
                      </a:ext>
                    </a:extLst>
                  </pic:spPr>
                </pic:pic>
              </a:graphicData>
            </a:graphic>
          </wp:inline>
        </w:drawing>
      </w:r>
    </w:p>
    <w:p w14:paraId="5D4EA050" w14:textId="032B6F99" w:rsidR="00942460" w:rsidRPr="00A4582E" w:rsidRDefault="00451E8E" w:rsidP="009953F5">
      <w:pPr>
        <w:rPr>
          <w:i/>
          <w:iCs/>
          <w:sz w:val="16"/>
          <w:szCs w:val="18"/>
        </w:rPr>
      </w:pPr>
      <w:r w:rsidRPr="00A4582E">
        <w:rPr>
          <w:i/>
          <w:iCs/>
          <w:sz w:val="16"/>
          <w:szCs w:val="18"/>
        </w:rPr>
        <w:t xml:space="preserve">Figure 2: </w:t>
      </w:r>
      <w:r w:rsidR="003E29C4" w:rsidRPr="00A4582E">
        <w:rPr>
          <w:i/>
          <w:iCs/>
          <w:sz w:val="16"/>
          <w:szCs w:val="18"/>
        </w:rPr>
        <w:t>Structure of layers</w:t>
      </w:r>
      <w:r w:rsidR="00527FDC" w:rsidRPr="00A4582E">
        <w:rPr>
          <w:i/>
          <w:iCs/>
          <w:sz w:val="16"/>
          <w:szCs w:val="18"/>
        </w:rPr>
        <w:t xml:space="preserve"> (Network owner and Wholesale </w:t>
      </w:r>
      <w:r w:rsidR="00B91CF1" w:rsidRPr="00A4582E">
        <w:rPr>
          <w:i/>
          <w:iCs/>
          <w:sz w:val="16"/>
          <w:szCs w:val="18"/>
        </w:rPr>
        <w:t xml:space="preserve">operator are sometimes the same </w:t>
      </w:r>
      <w:r w:rsidR="00C45B44" w:rsidRPr="00A4582E">
        <w:rPr>
          <w:i/>
          <w:iCs/>
          <w:sz w:val="16"/>
          <w:szCs w:val="18"/>
        </w:rPr>
        <w:t>provider</w:t>
      </w:r>
      <w:r w:rsidR="00527FDC" w:rsidRPr="00A4582E">
        <w:rPr>
          <w:i/>
          <w:iCs/>
          <w:sz w:val="16"/>
          <w:szCs w:val="18"/>
        </w:rPr>
        <w:t>)</w:t>
      </w:r>
    </w:p>
    <w:p w14:paraId="136C6ABE" w14:textId="77777777" w:rsidR="00451E8E" w:rsidRPr="00A4582E" w:rsidRDefault="00451E8E" w:rsidP="009953F5"/>
    <w:p w14:paraId="2ADBF744" w14:textId="7BBF901D" w:rsidR="009953F5" w:rsidRPr="00A4582E" w:rsidRDefault="00EF4188" w:rsidP="009953F5">
      <w:r w:rsidRPr="00A4582E">
        <w:t xml:space="preserve">Open-access </w:t>
      </w:r>
      <w:r w:rsidR="000A1EBA" w:rsidRPr="00A4582E">
        <w:t>wholesale</w:t>
      </w:r>
      <w:r w:rsidR="009953F5" w:rsidRPr="00A4582E">
        <w:t xml:space="preserve"> networks advance three objectives:</w:t>
      </w:r>
    </w:p>
    <w:p w14:paraId="53A9AC24" w14:textId="77777777" w:rsidR="009953F5" w:rsidRPr="00A4582E" w:rsidRDefault="009953F5" w:rsidP="00133447">
      <w:pPr>
        <w:numPr>
          <w:ilvl w:val="0"/>
          <w:numId w:val="17"/>
        </w:numPr>
      </w:pPr>
      <w:r w:rsidRPr="00A4582E">
        <w:rPr>
          <w:b/>
        </w:rPr>
        <w:t>Competition</w:t>
      </w:r>
      <w:r w:rsidRPr="00A4582E">
        <w:t xml:space="preserve"> – by ensuring equal access for all service providers;</w:t>
      </w:r>
    </w:p>
    <w:p w14:paraId="2F3DC303" w14:textId="4C8F9E97" w:rsidR="009953F5" w:rsidRPr="00A4582E" w:rsidRDefault="009953F5" w:rsidP="00133447">
      <w:pPr>
        <w:numPr>
          <w:ilvl w:val="0"/>
          <w:numId w:val="17"/>
        </w:numPr>
      </w:pPr>
      <w:r w:rsidRPr="00A4582E">
        <w:rPr>
          <w:b/>
        </w:rPr>
        <w:t>Efficiency</w:t>
      </w:r>
      <w:r w:rsidRPr="00A4582E">
        <w:t xml:space="preserve"> – by reducing redundant parallel builds and </w:t>
      </w:r>
      <w:r w:rsidR="00C65E7D" w:rsidRPr="00A4582E">
        <w:t>maximizing</w:t>
      </w:r>
      <w:r w:rsidRPr="00A4582E">
        <w:t xml:space="preserve"> asset </w:t>
      </w:r>
      <w:r w:rsidR="00DD5F15" w:rsidRPr="00A4582E">
        <w:t>utilization</w:t>
      </w:r>
      <w:r w:rsidRPr="00A4582E">
        <w:t>; and</w:t>
      </w:r>
    </w:p>
    <w:p w14:paraId="6F6F0D13" w14:textId="71793009" w:rsidR="009953F5" w:rsidRPr="00A4582E" w:rsidRDefault="009953F5" w:rsidP="00133447">
      <w:pPr>
        <w:numPr>
          <w:ilvl w:val="0"/>
          <w:numId w:val="17"/>
        </w:numPr>
      </w:pPr>
      <w:r w:rsidRPr="00A4582E">
        <w:rPr>
          <w:b/>
        </w:rPr>
        <w:t>Sustainability</w:t>
      </w:r>
      <w:r w:rsidRPr="00A4582E">
        <w:t xml:space="preserve"> – by promoting infrastructure sharing and lowering the environmental footprint of rollout.</w:t>
      </w:r>
    </w:p>
    <w:p w14:paraId="270DB375" w14:textId="77777777" w:rsidR="00013B7F" w:rsidRPr="00A4582E" w:rsidRDefault="00013B7F" w:rsidP="00013B7F"/>
    <w:p w14:paraId="744C5029" w14:textId="5FECA1C0" w:rsidR="00862F14" w:rsidRPr="00A4582E" w:rsidRDefault="006C5AB8" w:rsidP="00862F14">
      <w:r w:rsidRPr="00A4582E">
        <w:t xml:space="preserve">Given the high capital intensity of network construction, </w:t>
      </w:r>
      <w:bookmarkStart w:id="9" w:name="_Hlk214471995"/>
      <w:r w:rsidR="000A1EBA" w:rsidRPr="00A4582E">
        <w:t xml:space="preserve">open-access </w:t>
      </w:r>
      <w:r w:rsidRPr="00A4582E">
        <w:t xml:space="preserve">wholesale </w:t>
      </w:r>
      <w:bookmarkEnd w:id="9"/>
      <w:r w:rsidRPr="00A4582E">
        <w:t>models enable cost sharing among multiple retail operators, improving efficiency and investment returns while providing consumers with lower prices and broader choice</w:t>
      </w:r>
      <w:r w:rsidR="00CE7FFE" w:rsidRPr="00A4582E">
        <w:t>.</w:t>
      </w:r>
    </w:p>
    <w:p w14:paraId="52E68C08" w14:textId="77777777" w:rsidR="00862F14" w:rsidRPr="00A4582E" w:rsidRDefault="00862F14" w:rsidP="00862F14"/>
    <w:p w14:paraId="46B959FC" w14:textId="78904CFD" w:rsidR="00862F14" w:rsidRPr="00A4582E" w:rsidRDefault="00862F14" w:rsidP="00862F14">
      <w:r w:rsidRPr="00A4582E">
        <w:t>The European Electronic Communications Code (EECC) formally acknowledges wholesale-only operators and defines obligations for transparency, non-discrimination, and proportionality</w:t>
      </w:r>
      <w:bookmarkStart w:id="10" w:name="_Ref214523079"/>
      <w:r w:rsidRPr="00A4582E">
        <w:rPr>
          <w:rStyle w:val="EndnoteReference"/>
        </w:rPr>
        <w:endnoteReference w:id="36"/>
      </w:r>
      <w:bookmarkEnd w:id="10"/>
      <w:r w:rsidRPr="00A4582E">
        <w:t>. BEREC (the Body of European Regulators for Electronic Communications) has issued detailed guidance on how such networks should provide access to both passive and active elements under equal conditions</w:t>
      </w:r>
      <w:r w:rsidRPr="00A4582E">
        <w:rPr>
          <w:rStyle w:val="EndnoteReference"/>
        </w:rPr>
        <w:endnoteReference w:id="37"/>
      </w:r>
      <w:r w:rsidRPr="00A4582E">
        <w:t>.</w:t>
      </w:r>
    </w:p>
    <w:p w14:paraId="20706F99" w14:textId="77777777" w:rsidR="006C5AB8" w:rsidRPr="00A4582E" w:rsidRDefault="006C5AB8" w:rsidP="009953F5"/>
    <w:p w14:paraId="2EAC3147" w14:textId="374C1510" w:rsidR="009953F5" w:rsidRPr="00A4582E" w:rsidRDefault="009953F5" w:rsidP="00492B55">
      <w:pPr>
        <w:pStyle w:val="Heading3"/>
      </w:pPr>
      <w:r w:rsidRPr="00A4582E">
        <w:t xml:space="preserve">3.2 Europe’s Experience with </w:t>
      </w:r>
      <w:r w:rsidR="00E47FE3" w:rsidRPr="00A4582E">
        <w:t>open-access wholesale m</w:t>
      </w:r>
      <w:r w:rsidRPr="00A4582E">
        <w:t>odels</w:t>
      </w:r>
    </w:p>
    <w:p w14:paraId="1EEB385A" w14:textId="345B158B" w:rsidR="009953F5" w:rsidRPr="00A4582E" w:rsidRDefault="009953F5" w:rsidP="009953F5">
      <w:pPr>
        <w:rPr>
          <w:b/>
        </w:rPr>
      </w:pPr>
      <w:r w:rsidRPr="00A4582E">
        <w:rPr>
          <w:b/>
        </w:rPr>
        <w:t xml:space="preserve">Sweden – Pioneering </w:t>
      </w:r>
      <w:r w:rsidR="00076A5D" w:rsidRPr="00A4582E">
        <w:rPr>
          <w:b/>
        </w:rPr>
        <w:t>Structural</w:t>
      </w:r>
      <w:r w:rsidRPr="00A4582E">
        <w:rPr>
          <w:b/>
        </w:rPr>
        <w:t xml:space="preserve"> Separation</w:t>
      </w:r>
    </w:p>
    <w:p w14:paraId="27659B2D" w14:textId="183C40A4" w:rsidR="00EE70D2" w:rsidRPr="00A4582E" w:rsidRDefault="00FC3332" w:rsidP="00722533">
      <w:r w:rsidRPr="00A4582E">
        <w:t xml:space="preserve">Sweden is widely regarded as one of Europe’s most advanced markets for open-access </w:t>
      </w:r>
      <w:r w:rsidR="00C65E7D" w:rsidRPr="00A4582E">
        <w:t>fiber</w:t>
      </w:r>
      <w:r w:rsidRPr="00A4582E">
        <w:t xml:space="preserve"> infrastructure. Local </w:t>
      </w:r>
      <w:r w:rsidR="00C65E7D" w:rsidRPr="00A4582E">
        <w:t>fiber</w:t>
      </w:r>
      <w:r w:rsidRPr="00A4582E">
        <w:t xml:space="preserve"> networks have been established in around two thirds of Swedish municipalities and together account for more than half of national </w:t>
      </w:r>
      <w:r w:rsidR="00C65E7D" w:rsidRPr="00A4582E">
        <w:t>fiber</w:t>
      </w:r>
      <w:r w:rsidRPr="00A4582E">
        <w:t xml:space="preserve"> coverage. These networks are typically owned by municipalities or local authorities and are typically operated as open-access networks, enabling multiple service providers to offer services over the same infrastructure. This model has supported the entry of hundreds of service providers, expanded customer choice, and contributed to strong competition and high FTTH deployment across the country.</w:t>
      </w:r>
      <w:r w:rsidR="00CD4EE2" w:rsidRPr="00A4582E">
        <w:rPr>
          <w:rStyle w:val="EndnoteReference"/>
        </w:rPr>
        <w:endnoteReference w:id="38"/>
      </w:r>
    </w:p>
    <w:p w14:paraId="53495831" w14:textId="77777777" w:rsidR="00EE70D2" w:rsidRPr="00A4582E" w:rsidRDefault="00EE70D2" w:rsidP="009953F5"/>
    <w:p w14:paraId="21A93D6C" w14:textId="318D2330" w:rsidR="0017607D" w:rsidRPr="00A4582E" w:rsidRDefault="000B3407" w:rsidP="0017607D">
      <w:r w:rsidRPr="00A4582E">
        <w:t xml:space="preserve">Since its establishment in 1994, </w:t>
      </w:r>
      <w:proofErr w:type="spellStart"/>
      <w:r w:rsidRPr="00A4582E">
        <w:t>Stokab</w:t>
      </w:r>
      <w:proofErr w:type="spellEnd"/>
      <w:r w:rsidRPr="00A4582E">
        <w:t>, a company owned by the City of Stockholm, has provided neutral dark-</w:t>
      </w:r>
      <w:r w:rsidR="00C65E7D" w:rsidRPr="00A4582E">
        <w:t>fiber</w:t>
      </w:r>
      <w:r w:rsidRPr="00A4582E">
        <w:t xml:space="preserve"> infrastructure to telecom operators, enterprises, and public institutions, forming the model for municipal </w:t>
      </w:r>
      <w:r w:rsidR="00C65E7D" w:rsidRPr="00A4582E">
        <w:t>fiber</w:t>
      </w:r>
      <w:r w:rsidRPr="00A4582E">
        <w:t xml:space="preserve"> deployment globally</w:t>
      </w:r>
      <w:r w:rsidR="009953F5" w:rsidRPr="00A4582E">
        <w:t xml:space="preserve">. </w:t>
      </w:r>
      <w:proofErr w:type="spellStart"/>
      <w:r w:rsidR="009953F5" w:rsidRPr="00A4582E">
        <w:t>Stokab</w:t>
      </w:r>
      <w:proofErr w:type="spellEnd"/>
      <w:r w:rsidR="009953F5" w:rsidRPr="00A4582E">
        <w:t xml:space="preserve"> builds and manages passive </w:t>
      </w:r>
      <w:r w:rsidR="00C65E7D" w:rsidRPr="00A4582E">
        <w:t>fiber</w:t>
      </w:r>
      <w:r w:rsidR="009953F5" w:rsidRPr="00A4582E">
        <w:t xml:space="preserve"> but refrains from offering retail broadband services. This neutrality has enabled more than 100 ISPs and service providers to operate competitively across the Stockholm region, creating one of Europe’s densest broadband markets.</w:t>
      </w:r>
      <w:r w:rsidR="00C82745" w:rsidRPr="00A4582E">
        <w:rPr>
          <w:rStyle w:val="EndnoteReference"/>
        </w:rPr>
        <w:endnoteReference w:id="39"/>
      </w:r>
      <w:r w:rsidR="00264408" w:rsidRPr="00A4582E">
        <w:t xml:space="preserve"> </w:t>
      </w:r>
      <w:r w:rsidR="009953F5" w:rsidRPr="00A4582E">
        <w:t xml:space="preserve">The Swedish </w:t>
      </w:r>
      <w:r w:rsidR="00CE7FFE" w:rsidRPr="00A4582E">
        <w:t xml:space="preserve">municipal </w:t>
      </w:r>
      <w:r w:rsidR="0076572E" w:rsidRPr="00A4582E">
        <w:t>network</w:t>
      </w:r>
      <w:r w:rsidR="009953F5" w:rsidRPr="00A4582E">
        <w:t xml:space="preserve"> movement has extended this principle nationwide. </w:t>
      </w:r>
      <w:r w:rsidR="00E94B6E" w:rsidRPr="00A4582E">
        <w:t xml:space="preserve">Sweden’s extensive municipal-network ecosystem now operates mainly on </w:t>
      </w:r>
      <w:r w:rsidR="00E47FE3" w:rsidRPr="00A4582E">
        <w:t xml:space="preserve">open-access </w:t>
      </w:r>
      <w:r w:rsidR="00E94B6E" w:rsidRPr="00A4582E">
        <w:t xml:space="preserve">wholesale terms and together accounts for roughly half of the country’s </w:t>
      </w:r>
      <w:r w:rsidR="00C65E7D" w:rsidRPr="00A4582E">
        <w:t>fiber</w:t>
      </w:r>
      <w:r w:rsidR="00AA2DB5" w:rsidRPr="00A4582E">
        <w:t xml:space="preserve"> lines</w:t>
      </w:r>
      <w:r w:rsidR="00E03D92" w:rsidRPr="00A4582E">
        <w:rPr>
          <w:rStyle w:val="EndnoteReference"/>
        </w:rPr>
        <w:endnoteReference w:id="40"/>
      </w:r>
      <w:r w:rsidR="009953F5" w:rsidRPr="00A4582E">
        <w:t>.</w:t>
      </w:r>
    </w:p>
    <w:p w14:paraId="241E7422" w14:textId="77777777" w:rsidR="0017607D" w:rsidRPr="00A4582E" w:rsidRDefault="0017607D" w:rsidP="0017607D"/>
    <w:p w14:paraId="6D6C8B1E" w14:textId="35D01191" w:rsidR="0017607D" w:rsidRPr="00A4582E" w:rsidRDefault="0017607D" w:rsidP="003B7E72">
      <w:proofErr w:type="spellStart"/>
      <w:r w:rsidRPr="00A4582E">
        <w:t>Stokab’s</w:t>
      </w:r>
      <w:proofErr w:type="spellEnd"/>
      <w:r w:rsidRPr="00A4582E">
        <w:t xml:space="preserve"> open-access model has proven both financially sustainable and scalable, with a design based on two dedicated </w:t>
      </w:r>
      <w:r w:rsidR="00C65E7D" w:rsidRPr="00A4582E">
        <w:t>fibers</w:t>
      </w:r>
      <w:r w:rsidRPr="00A4582E">
        <w:t xml:space="preserve"> per premise and a network of around 400 access nodes and 600 cross-connection points, allowing providers to interconnect flexibly and maintain redundancy. Benchmarking studies show that Stockholm’s dark-</w:t>
      </w:r>
      <w:r w:rsidR="00C65E7D" w:rsidRPr="00A4582E">
        <w:t>fiber</w:t>
      </w:r>
      <w:r w:rsidRPr="00A4582E">
        <w:t xml:space="preserve"> and business broadband prices are among the lowest in Europe, reflecting how infrastructure-based competition at the wholesale level disciplines retail pricing.</w:t>
      </w:r>
      <w:r w:rsidR="004D03FB" w:rsidRPr="00A4582E">
        <w:fldChar w:fldCharType="begin"/>
      </w:r>
      <w:r w:rsidR="004D03FB" w:rsidRPr="00A4582E">
        <w:instrText xml:space="preserve"> NOTEREF _Ref214522373 \f </w:instrText>
      </w:r>
      <w:r w:rsidR="004D03FB" w:rsidRPr="00A4582E">
        <w:fldChar w:fldCharType="separate"/>
      </w:r>
      <w:r w:rsidR="003B7E72" w:rsidRPr="003B7E72">
        <w:rPr>
          <w:rStyle w:val="EndnoteReference"/>
        </w:rPr>
        <w:t>16</w:t>
      </w:r>
      <w:r w:rsidR="004D03FB" w:rsidRPr="00A4582E">
        <w:fldChar w:fldCharType="end"/>
      </w:r>
    </w:p>
    <w:p w14:paraId="0D6624ED" w14:textId="5FEBCA0C" w:rsidR="009953F5" w:rsidRPr="00A4582E" w:rsidRDefault="009953F5" w:rsidP="009953F5"/>
    <w:p w14:paraId="22A33FD0" w14:textId="0489133A" w:rsidR="009953F5" w:rsidRPr="00A4582E" w:rsidRDefault="009953F5" w:rsidP="009953F5">
      <w:pPr>
        <w:rPr>
          <w:b/>
        </w:rPr>
      </w:pPr>
      <w:r w:rsidRPr="00A4582E">
        <w:rPr>
          <w:b/>
        </w:rPr>
        <w:t xml:space="preserve">Germany </w:t>
      </w:r>
      <w:r w:rsidR="00AA2DB5" w:rsidRPr="00A4582E">
        <w:rPr>
          <w:b/>
        </w:rPr>
        <w:t>-</w:t>
      </w:r>
      <w:r w:rsidRPr="00A4582E">
        <w:rPr>
          <w:b/>
        </w:rPr>
        <w:t xml:space="preserve"> Emerging Co-Investment and Access Models</w:t>
      </w:r>
    </w:p>
    <w:p w14:paraId="25F3E2C7" w14:textId="77777777" w:rsidR="00DF4E04" w:rsidRPr="00A4582E" w:rsidRDefault="00DF4E04" w:rsidP="009953F5">
      <w:pPr>
        <w:rPr>
          <w:b/>
          <w:bCs/>
        </w:rPr>
      </w:pPr>
    </w:p>
    <w:p w14:paraId="464E8516" w14:textId="4B3B2588" w:rsidR="00DF4E04" w:rsidRPr="00A4582E" w:rsidRDefault="00DF4E04" w:rsidP="009953F5">
      <w:r w:rsidRPr="00A4582E">
        <w:t xml:space="preserve">Germany’s comparatively slow transition to </w:t>
      </w:r>
      <w:r w:rsidR="00C65E7D" w:rsidRPr="00A4582E">
        <w:t>fiber</w:t>
      </w:r>
      <w:r w:rsidRPr="00A4582E">
        <w:t xml:space="preserve"> can be traced to structural and regulatory factors that </w:t>
      </w:r>
      <w:r w:rsidR="00C65E7D" w:rsidRPr="00A4582E">
        <w:t>favored</w:t>
      </w:r>
      <w:r w:rsidRPr="00A4582E">
        <w:t xml:space="preserve"> incremental upgrades of copper networks rather than full replacement. For more than a decade, the market has been shaped by a single significant market power (SMP) operator with extensive legacy infrastructure, limiting incentives for alternative builders. Early broadband policies </w:t>
      </w:r>
      <w:r w:rsidR="00C65E7D" w:rsidRPr="00A4582E">
        <w:t>prioritized</w:t>
      </w:r>
      <w:r w:rsidRPr="00A4582E">
        <w:t xml:space="preserve"> VDSL vectoring, which extended copper life rather than driving </w:t>
      </w:r>
      <w:r w:rsidR="00C65E7D" w:rsidRPr="00A4582E">
        <w:t>fiber</w:t>
      </w:r>
      <w:r w:rsidRPr="00A4582E">
        <w:t xml:space="preserve"> deployment. This path dependency created </w:t>
      </w:r>
      <w:r w:rsidRPr="00A4582E">
        <w:lastRenderedPageBreak/>
        <w:t xml:space="preserve">regional disparities and delayed rural rollouts. In recent years, the federal government and </w:t>
      </w:r>
      <w:proofErr w:type="spellStart"/>
      <w:r w:rsidRPr="00A4582E">
        <w:t>Bundesnetzagentur</w:t>
      </w:r>
      <w:proofErr w:type="spellEnd"/>
      <w:r w:rsidRPr="00A4582E">
        <w:t xml:space="preserve"> have </w:t>
      </w:r>
      <w:r w:rsidR="00C65E7D" w:rsidRPr="00A4582E">
        <w:t>recognized</w:t>
      </w:r>
      <w:r w:rsidRPr="00A4582E">
        <w:t xml:space="preserve"> these constraints, promoting open-access partnerships and local utility participation as a means to accelerate deployment and reduce overbuild. Against this backdrop, Germany’s emerging </w:t>
      </w:r>
      <w:r w:rsidR="006F7EA7" w:rsidRPr="00A4582E">
        <w:t xml:space="preserve">local public </w:t>
      </w:r>
      <w:r w:rsidR="00C65E7D" w:rsidRPr="00A4582E">
        <w:t>fiber</w:t>
      </w:r>
      <w:r w:rsidR="00906CC9" w:rsidRPr="00A4582E">
        <w:t>/</w:t>
      </w:r>
      <w:r w:rsidR="006F7EA7" w:rsidRPr="00A4582E">
        <w:t xml:space="preserve">utility companies </w:t>
      </w:r>
      <w:r w:rsidRPr="00A4582E">
        <w:t>represent a structural correction rather than a new experiment: they align long-term investment with local coordination and complement national operators’ efforts.</w:t>
      </w:r>
    </w:p>
    <w:p w14:paraId="144E2C3A" w14:textId="77777777" w:rsidR="00DF4E04" w:rsidRPr="00A4582E" w:rsidRDefault="00DF4E04" w:rsidP="009953F5">
      <w:pPr>
        <w:rPr>
          <w:b/>
          <w:bCs/>
        </w:rPr>
      </w:pPr>
    </w:p>
    <w:p w14:paraId="3EC45DA3" w14:textId="5FEFD902" w:rsidR="009953F5" w:rsidRPr="00A4582E" w:rsidRDefault="009953F5" w:rsidP="000278E7">
      <w:r w:rsidRPr="00A4582E">
        <w:t xml:space="preserve">In Germany, the </w:t>
      </w:r>
      <w:r w:rsidR="00E47FE3" w:rsidRPr="00A4582E">
        <w:t xml:space="preserve">open-access </w:t>
      </w:r>
      <w:r w:rsidRPr="00A4582E">
        <w:t xml:space="preserve">wholesale model is gaining momentum through co-investment and open-access agreements between regional </w:t>
      </w:r>
      <w:r w:rsidR="00C65E7D" w:rsidRPr="00A4582E">
        <w:t>fiber</w:t>
      </w:r>
      <w:r w:rsidR="00F40364" w:rsidRPr="00A4582E">
        <w:t>/</w:t>
      </w:r>
      <w:r w:rsidRPr="00A4582E">
        <w:t xml:space="preserve">utilities </w:t>
      </w:r>
      <w:r w:rsidR="00F40364" w:rsidRPr="00A4582E">
        <w:t>actors</w:t>
      </w:r>
      <w:r w:rsidRPr="00A4582E">
        <w:t xml:space="preserve"> and private </w:t>
      </w:r>
      <w:r w:rsidR="00C65E7D" w:rsidRPr="00A4582E">
        <w:t>fiber</w:t>
      </w:r>
      <w:r w:rsidRPr="00A4582E">
        <w:t xml:space="preserve"> specialists. Examples include </w:t>
      </w:r>
      <w:proofErr w:type="spellStart"/>
      <w:r w:rsidRPr="00A4582E">
        <w:rPr>
          <w:i/>
        </w:rPr>
        <w:t>NetCologne</w:t>
      </w:r>
      <w:proofErr w:type="spellEnd"/>
      <w:r w:rsidRPr="00A4582E">
        <w:t xml:space="preserve"> and </w:t>
      </w:r>
      <w:r w:rsidRPr="00A4582E">
        <w:rPr>
          <w:i/>
        </w:rPr>
        <w:t>M-net</w:t>
      </w:r>
      <w:r w:rsidRPr="00A4582E">
        <w:t xml:space="preserve"> partnering with Deutsche </w:t>
      </w:r>
      <w:proofErr w:type="spellStart"/>
      <w:r w:rsidRPr="00A4582E">
        <w:t>Glasfaser</w:t>
      </w:r>
      <w:proofErr w:type="spellEnd"/>
      <w:r w:rsidRPr="00A4582E">
        <w:t xml:space="preserve"> to provide reciprocal wholesale access</w:t>
      </w:r>
      <w:r w:rsidR="000278E7" w:rsidRPr="00A4582E">
        <w:t xml:space="preserve">. </w:t>
      </w:r>
      <w:r w:rsidR="0011079B" w:rsidRPr="00A4582E">
        <w:t xml:space="preserve">The </w:t>
      </w:r>
      <w:proofErr w:type="spellStart"/>
      <w:r w:rsidR="0011079B" w:rsidRPr="00A4582E">
        <w:t>Bundesnetzagentur</w:t>
      </w:r>
      <w:proofErr w:type="spellEnd"/>
      <w:r w:rsidR="0011079B" w:rsidRPr="00A4582E">
        <w:t xml:space="preserve"> promotes regulatory frameworks that encourage investment, accelerate rollout, and prevent inefficient overbuild. Analysis </w:t>
      </w:r>
      <w:r w:rsidR="00EF0038" w:rsidRPr="00A4582E">
        <w:t>shows</w:t>
      </w:r>
      <w:r w:rsidR="0011079B" w:rsidRPr="00A4582E">
        <w:t xml:space="preserve"> that deployment has advanced fastest in regions with active </w:t>
      </w:r>
      <w:r w:rsidR="00917EA9" w:rsidRPr="00A4582E">
        <w:t xml:space="preserve">local </w:t>
      </w:r>
      <w:r w:rsidR="00C65E7D" w:rsidRPr="00A4582E">
        <w:t>fiber</w:t>
      </w:r>
      <w:r w:rsidR="00917EA9" w:rsidRPr="00A4582E">
        <w:t xml:space="preserve"> actors</w:t>
      </w:r>
      <w:r w:rsidR="0011079B" w:rsidRPr="00A4582E">
        <w:t xml:space="preserve"> involvement and open-access or co-investment models, highlighting the effectiveness of local cooperation in Germany’s </w:t>
      </w:r>
      <w:r w:rsidR="00C65E7D" w:rsidRPr="00A4582E">
        <w:t>fiber</w:t>
      </w:r>
      <w:r w:rsidR="0011079B" w:rsidRPr="00A4582E">
        <w:t xml:space="preserve"> market</w:t>
      </w:r>
      <w:r w:rsidR="001805A5" w:rsidRPr="00A4582E">
        <w:t>.</w:t>
      </w:r>
      <w:r w:rsidR="000278E7" w:rsidRPr="00A4582E">
        <w:t xml:space="preserve"> </w:t>
      </w:r>
      <w:r w:rsidR="00E03A0C" w:rsidRPr="00A4582E">
        <w:t>T</w:t>
      </w:r>
      <w:r w:rsidRPr="00A4582E">
        <w:t xml:space="preserve">he industry association VATM has advocated expanding the </w:t>
      </w:r>
      <w:r w:rsidR="001B0374" w:rsidRPr="00A4582E">
        <w:t xml:space="preserve">open-access </w:t>
      </w:r>
      <w:r w:rsidRPr="00A4582E">
        <w:t>wholesale logic nationwide.</w:t>
      </w:r>
      <w:r w:rsidR="00EF0038" w:rsidRPr="00A4582E">
        <w:rPr>
          <w:rStyle w:val="EndnoteReference"/>
        </w:rPr>
        <w:t xml:space="preserve"> </w:t>
      </w:r>
      <w:r w:rsidR="00EF0038" w:rsidRPr="00A4582E">
        <w:rPr>
          <w:rStyle w:val="EndnoteReference"/>
        </w:rPr>
        <w:endnoteReference w:id="41"/>
      </w:r>
    </w:p>
    <w:p w14:paraId="0E4911C8" w14:textId="16339BE8" w:rsidR="009953F5" w:rsidRPr="00A4582E" w:rsidRDefault="009953F5" w:rsidP="009953F5"/>
    <w:p w14:paraId="243BD7C9" w14:textId="77777777" w:rsidR="009953F5" w:rsidRPr="00A4582E" w:rsidRDefault="009953F5" w:rsidP="009953F5">
      <w:pPr>
        <w:rPr>
          <w:b/>
        </w:rPr>
      </w:pPr>
      <w:r w:rsidRPr="00A4582E">
        <w:rPr>
          <w:b/>
        </w:rPr>
        <w:t>Austria – Regulated Open-Access Frameworks</w:t>
      </w:r>
    </w:p>
    <w:p w14:paraId="5BD43FA3" w14:textId="07008CFE" w:rsidR="00994C26" w:rsidRPr="00A4582E" w:rsidRDefault="00994C26" w:rsidP="003164B6">
      <w:r w:rsidRPr="00A4582E">
        <w:t xml:space="preserve">Austria now represents one of the EU’s most advanced regulatory environments for </w:t>
      </w:r>
      <w:r w:rsidR="000614A7" w:rsidRPr="00A4582E">
        <w:t xml:space="preserve">open-access </w:t>
      </w:r>
      <w:r w:rsidRPr="00A4582E">
        <w:t xml:space="preserve">wholesale broadband. Since 2022, all networks receiving funding under the </w:t>
      </w:r>
      <w:proofErr w:type="spellStart"/>
      <w:r w:rsidRPr="00A4582E">
        <w:t>Breitband</w:t>
      </w:r>
      <w:proofErr w:type="spellEnd"/>
      <w:r w:rsidRPr="00A4582E">
        <w:t xml:space="preserve"> Austria 2030 (BBA 2030) </w:t>
      </w:r>
      <w:r w:rsidR="00C972A9" w:rsidRPr="00A4582E">
        <w:t>program</w:t>
      </w:r>
      <w:r w:rsidRPr="00A4582E">
        <w:t xml:space="preserve"> must operate on an open-access wholesale basis. The </w:t>
      </w:r>
      <w:proofErr w:type="spellStart"/>
      <w:r w:rsidRPr="00A4582E">
        <w:t>OpenNet</w:t>
      </w:r>
      <w:proofErr w:type="spellEnd"/>
      <w:r w:rsidRPr="00A4582E">
        <w:t xml:space="preserve"> guidelines issued by the Federal Ministry for Climate Action (BMK) prohibit exclusive retail use and require non-discriminatory wholesale access to both dark </w:t>
      </w:r>
      <w:r w:rsidR="00C972A9" w:rsidRPr="00A4582E">
        <w:t>fiber</w:t>
      </w:r>
      <w:r w:rsidRPr="00A4582E">
        <w:t xml:space="preserve"> and active capacity</w:t>
      </w:r>
      <w:r w:rsidR="00F762C2" w:rsidRPr="00A4582E">
        <w:t>.</w:t>
      </w:r>
      <w:r w:rsidR="00F762C2" w:rsidRPr="00A4582E">
        <w:rPr>
          <w:rStyle w:val="EndnoteReference"/>
        </w:rPr>
        <w:endnoteReference w:id="42"/>
      </w:r>
    </w:p>
    <w:p w14:paraId="67377A97" w14:textId="77777777" w:rsidR="00F762C2" w:rsidRPr="00A4582E" w:rsidRDefault="00F762C2" w:rsidP="003164B6"/>
    <w:p w14:paraId="6ECF1EAE" w14:textId="559C79A3" w:rsidR="00994C26" w:rsidRPr="00A4582E" w:rsidRDefault="00994C26" w:rsidP="00B855A8">
      <w:r w:rsidRPr="00A4582E">
        <w:t xml:space="preserve">Regulatory oversight by the Austrian regulator RTR ensures transparent pricing, </w:t>
      </w:r>
      <w:r w:rsidR="00C972A9" w:rsidRPr="00A4582E">
        <w:t>standardized</w:t>
      </w:r>
      <w:r w:rsidRPr="00A4582E">
        <w:t xml:space="preserve"> wholesale offers, and consistent service-level agreements. </w:t>
      </w:r>
      <w:r w:rsidR="00B855A8" w:rsidRPr="00A4582E">
        <w:t>According to RTR, open-access networks now cover a substantial share of national FTTH connections, and the number of Internet service providers active on these networks continues to increase.</w:t>
      </w:r>
      <w:r w:rsidR="0025427B" w:rsidRPr="00A4582E">
        <w:rPr>
          <w:rStyle w:val="EndnoteReference"/>
        </w:rPr>
        <w:endnoteReference w:id="43"/>
      </w:r>
      <w:r w:rsidR="006D11D8" w:rsidRPr="00A4582E">
        <w:rPr>
          <w:vertAlign w:val="superscript"/>
        </w:rPr>
        <w:t>,</w:t>
      </w:r>
      <w:r w:rsidR="006D11D8" w:rsidRPr="00A4582E">
        <w:rPr>
          <w:rStyle w:val="EndnoteReference"/>
        </w:rPr>
        <w:endnoteReference w:id="44"/>
      </w:r>
    </w:p>
    <w:p w14:paraId="466C1637" w14:textId="77777777" w:rsidR="00C34D7C" w:rsidRPr="00A4582E" w:rsidRDefault="00C34D7C" w:rsidP="00B855A8"/>
    <w:p w14:paraId="0DB3A0DA" w14:textId="21BE5738" w:rsidR="00994C26" w:rsidRPr="00A4582E" w:rsidRDefault="00B663EA" w:rsidP="003B7E72">
      <w:r w:rsidRPr="00A4582E">
        <w:t xml:space="preserve">A leading regional example is </w:t>
      </w:r>
      <w:proofErr w:type="spellStart"/>
      <w:r w:rsidRPr="00A4582E">
        <w:t>nöGIG</w:t>
      </w:r>
      <w:proofErr w:type="spellEnd"/>
      <w:r w:rsidRPr="00A4582E">
        <w:t xml:space="preserve"> in Lower Austria, which builds and owns a neutral, publicly financed </w:t>
      </w:r>
      <w:r w:rsidR="00FC37B8" w:rsidRPr="00A4582E">
        <w:t xml:space="preserve">open-access </w:t>
      </w:r>
      <w:r w:rsidRPr="00A4582E">
        <w:t xml:space="preserve">wholesale. Multiple retail providers lease capacity under </w:t>
      </w:r>
      <w:r w:rsidRPr="00A4582E">
        <w:t>transparent terms, allowing small municipalities to reach gigabit coverage without vertical integration.</w:t>
      </w:r>
      <w:r w:rsidR="00B8008F" w:rsidRPr="00A4582E">
        <w:fldChar w:fldCharType="begin"/>
      </w:r>
      <w:r w:rsidR="00B8008F" w:rsidRPr="00A4582E">
        <w:instrText xml:space="preserve"> NOTEREF _Ref214542300 \f </w:instrText>
      </w:r>
      <w:r w:rsidR="00B8008F" w:rsidRPr="00A4582E">
        <w:fldChar w:fldCharType="separate"/>
      </w:r>
      <w:r w:rsidR="003B7E72" w:rsidRPr="003B7E72">
        <w:rPr>
          <w:rStyle w:val="EndnoteReference"/>
        </w:rPr>
        <w:t>34</w:t>
      </w:r>
      <w:r w:rsidR="00B8008F" w:rsidRPr="00A4582E">
        <w:fldChar w:fldCharType="end"/>
      </w:r>
      <w:r w:rsidR="00FE6950" w:rsidRPr="00A4582E">
        <w:t xml:space="preserve"> </w:t>
      </w:r>
      <w:r w:rsidRPr="00A4582E">
        <w:t xml:space="preserve">The combination of federal funding, regional governance, and municipal coordination has proven effective in extending coverage and sustaining competition. Austria’s approach demonstrates that tying public investment to wholesale- obligations can create scalable, neutral </w:t>
      </w:r>
      <w:r w:rsidR="00D527A2" w:rsidRPr="00A4582E">
        <w:t>fiber</w:t>
      </w:r>
      <w:r w:rsidRPr="00A4582E">
        <w:t xml:space="preserve"> infrastructure nationwide.</w:t>
      </w:r>
    </w:p>
    <w:p w14:paraId="377E1CD1" w14:textId="41ADD5AE" w:rsidR="009953F5" w:rsidRPr="00A4582E" w:rsidRDefault="009953F5" w:rsidP="009953F5"/>
    <w:p w14:paraId="4A4174E8" w14:textId="3A164419" w:rsidR="00BB26E5" w:rsidRPr="00A4582E" w:rsidRDefault="009953F5" w:rsidP="00492B55">
      <w:pPr>
        <w:pStyle w:val="Heading3"/>
      </w:pPr>
      <w:r w:rsidRPr="00A4582E">
        <w:t>3.3 Benefits and Measured Outcomes</w:t>
      </w:r>
    </w:p>
    <w:p w14:paraId="58BC36B3" w14:textId="77777777" w:rsidR="00BB26E5" w:rsidRPr="00A4582E" w:rsidRDefault="00BB26E5" w:rsidP="00BB26E5">
      <w:pPr>
        <w:rPr>
          <w:b/>
        </w:rPr>
      </w:pPr>
      <w:r w:rsidRPr="00A4582E">
        <w:rPr>
          <w:b/>
        </w:rPr>
        <w:t>Competition and Service Innovation</w:t>
      </w:r>
    </w:p>
    <w:p w14:paraId="478B4C5D" w14:textId="5E061BA2" w:rsidR="00BB26E5" w:rsidRPr="00A4582E" w:rsidRDefault="0055582B" w:rsidP="004A0241">
      <w:r w:rsidRPr="00A4582E">
        <w:t>Open-access wholesale</w:t>
      </w:r>
      <w:r w:rsidR="00BB26E5" w:rsidRPr="00A4582E">
        <w:t xml:space="preserve"> networks </w:t>
      </w:r>
      <w:r w:rsidR="00BF1EEC" w:rsidRPr="00A4582E">
        <w:t xml:space="preserve">can </w:t>
      </w:r>
      <w:r w:rsidR="00BB26E5" w:rsidRPr="00A4582E">
        <w:t>lower entry barriers for ISP</w:t>
      </w:r>
      <w:r w:rsidR="001D540A" w:rsidRPr="00A4582E">
        <w:t>s</w:t>
      </w:r>
      <w:r w:rsidR="00BB26E5" w:rsidRPr="00A4582E">
        <w:t xml:space="preserve"> and expand consumer choice.</w:t>
      </w:r>
      <w:r w:rsidR="004A0241" w:rsidRPr="00A4582E">
        <w:t xml:space="preserve"> </w:t>
      </w:r>
      <w:r w:rsidR="0059419D" w:rsidRPr="00A4582E">
        <w:t>Experience</w:t>
      </w:r>
      <w:r w:rsidR="004A0241" w:rsidRPr="00A4582E">
        <w:t xml:space="preserve"> from Sweden, Austria, and Germany </w:t>
      </w:r>
      <w:r w:rsidR="00BC3632" w:rsidRPr="00A4582E">
        <w:t>illustrates</w:t>
      </w:r>
      <w:r w:rsidR="004A0241" w:rsidRPr="00A4582E">
        <w:t xml:space="preserve"> that open-access environments host more active retail providers and achieve higher network </w:t>
      </w:r>
      <w:r w:rsidR="00D527A2" w:rsidRPr="00A4582E">
        <w:t>utilization</w:t>
      </w:r>
      <w:r w:rsidR="004A0241" w:rsidRPr="00A4582E">
        <w:t xml:space="preserve"> than vertically integrated systems as long as the willingness of other telecommunications companies to purchase wholesale services is given</w:t>
      </w:r>
      <w:r w:rsidR="00BB26E5" w:rsidRPr="00A4582E">
        <w:t xml:space="preserve"> .</w:t>
      </w:r>
    </w:p>
    <w:p w14:paraId="03797833" w14:textId="77777777" w:rsidR="001D540A" w:rsidRPr="00A4582E" w:rsidRDefault="001D540A" w:rsidP="00BB26E5"/>
    <w:p w14:paraId="0E186BFE" w14:textId="01433016" w:rsidR="001D540A" w:rsidRPr="00A4582E" w:rsidRDefault="00BB26E5" w:rsidP="003B7E72">
      <w:r w:rsidRPr="00A4582E">
        <w:t>In Austria, the regulator RTR reports a rising number of ISPs on open-access networks and a slight decline in average retail broadband prices</w:t>
      </w:r>
      <w:r w:rsidR="001426E2" w:rsidRPr="00A4582E">
        <w:t xml:space="preserve">, </w:t>
      </w:r>
      <w:r w:rsidRPr="00A4582E">
        <w:t>signs of stronger competition and greater service differentiation.</w:t>
      </w:r>
      <w:r w:rsidR="00812423" w:rsidRPr="00A4582E">
        <w:fldChar w:fldCharType="begin"/>
      </w:r>
      <w:r w:rsidR="00812423" w:rsidRPr="00A4582E">
        <w:instrText xml:space="preserve"> NOTEREF _Ref214542428 \f </w:instrText>
      </w:r>
      <w:r w:rsidR="00812423" w:rsidRPr="00A4582E">
        <w:fldChar w:fldCharType="separate"/>
      </w:r>
      <w:r w:rsidR="003B7E72" w:rsidRPr="003B7E72">
        <w:rPr>
          <w:rStyle w:val="EndnoteReference"/>
        </w:rPr>
        <w:t>31</w:t>
      </w:r>
      <w:r w:rsidR="00812423" w:rsidRPr="00A4582E">
        <w:fldChar w:fldCharType="end"/>
      </w:r>
      <w:r w:rsidR="001426E2" w:rsidRPr="00A4582E">
        <w:rPr>
          <w:rStyle w:val="EndnoteReference"/>
        </w:rPr>
        <w:t xml:space="preserve"> </w:t>
      </w:r>
      <w:r w:rsidRPr="00A4582E">
        <w:t xml:space="preserve">In Germany, the VATM-commissioned SBR-net Consulting (2023) study found that cooperative and open-access </w:t>
      </w:r>
      <w:r w:rsidR="00D527A2" w:rsidRPr="00A4582E">
        <w:t>fiber</w:t>
      </w:r>
      <w:r w:rsidRPr="00A4582E">
        <w:t xml:space="preserve"> models significantly improve network </w:t>
      </w:r>
      <w:r w:rsidR="00D527A2" w:rsidRPr="00A4582E">
        <w:t>utilization</w:t>
      </w:r>
      <w:r w:rsidRPr="00A4582E">
        <w:t xml:space="preserve"> and end-user choice, concluding that “open networks are the key to Germany’s </w:t>
      </w:r>
      <w:r w:rsidR="00D527A2" w:rsidRPr="00A4582E">
        <w:t>fiber</w:t>
      </w:r>
      <w:r w:rsidRPr="00A4582E">
        <w:t xml:space="preserve"> success.”</w:t>
      </w:r>
      <w:r w:rsidR="001426E2" w:rsidRPr="00A4582E">
        <w:rPr>
          <w:rStyle w:val="EndnoteReference"/>
        </w:rPr>
        <w:endnoteReference w:id="45"/>
      </w:r>
    </w:p>
    <w:p w14:paraId="18B1DEFC" w14:textId="77777777" w:rsidR="00FD73A6" w:rsidRPr="00A4582E" w:rsidRDefault="00FD73A6" w:rsidP="00BB26E5"/>
    <w:p w14:paraId="279A80FE" w14:textId="135A06CB" w:rsidR="00BB26E5" w:rsidRPr="00A4582E" w:rsidRDefault="00BB26E5" w:rsidP="00754D30">
      <w:r w:rsidRPr="00A4582E">
        <w:t xml:space="preserve">In Sweden, most municipal networks operate </w:t>
      </w:r>
      <w:r w:rsidR="00280EAB" w:rsidRPr="00A4582E">
        <w:t>on a</w:t>
      </w:r>
      <w:r w:rsidRPr="00A4582E">
        <w:t xml:space="preserve"> wholesale</w:t>
      </w:r>
      <w:r w:rsidR="00280EAB" w:rsidRPr="00A4582E">
        <w:t xml:space="preserve"> level</w:t>
      </w:r>
      <w:r w:rsidRPr="00A4582E">
        <w:t xml:space="preserve">, offering neutral access to multiple ISPs. </w:t>
      </w:r>
      <w:r w:rsidR="00584C92" w:rsidRPr="00A4582E">
        <w:t>As mentioned earlier</w:t>
      </w:r>
      <w:r w:rsidRPr="00A4582E">
        <w:t xml:space="preserve">, over 100 providers use the </w:t>
      </w:r>
      <w:proofErr w:type="spellStart"/>
      <w:r w:rsidRPr="00A4582E">
        <w:t>Stokab</w:t>
      </w:r>
      <w:proofErr w:type="spellEnd"/>
      <w:r w:rsidRPr="00A4582E">
        <w:t xml:space="preserve"> network</w:t>
      </w:r>
      <w:r w:rsidR="00FC5E69" w:rsidRPr="00A4582E">
        <w:t xml:space="preserve"> in Stockholm alone</w:t>
      </w:r>
      <w:r w:rsidRPr="00A4582E">
        <w:t>, while municipal networks nationwide account for roughly half of all FTTH connections.</w:t>
      </w:r>
      <w:r w:rsidR="00B93BD6" w:rsidRPr="00A4582E">
        <w:fldChar w:fldCharType="begin"/>
      </w:r>
      <w:r w:rsidR="00B93BD6" w:rsidRPr="00A4582E">
        <w:instrText xml:space="preserve"> NOTEREF _Ref214522373 \f </w:instrText>
      </w:r>
      <w:r w:rsidR="00B93BD6" w:rsidRPr="00A4582E">
        <w:fldChar w:fldCharType="separate"/>
      </w:r>
      <w:r w:rsidR="00754D30" w:rsidRPr="00754D30">
        <w:rPr>
          <w:rStyle w:val="EndnoteReference"/>
        </w:rPr>
        <w:t>16</w:t>
      </w:r>
      <w:r w:rsidR="00B93BD6" w:rsidRPr="00A4582E">
        <w:fldChar w:fldCharType="end"/>
      </w:r>
      <w:r w:rsidRPr="00A4582E">
        <w:t xml:space="preserve"> This </w:t>
      </w:r>
      <w:r w:rsidR="007E2350" w:rsidRPr="00A4582E">
        <w:t>decentralized</w:t>
      </w:r>
      <w:r w:rsidRPr="00A4582E">
        <w:t xml:space="preserve"> ecosystem has created one of Europe’s most competitive broadband markets, with high </w:t>
      </w:r>
      <w:r w:rsidR="00D527A2" w:rsidRPr="00A4582E">
        <w:t>fiber</w:t>
      </w:r>
      <w:r w:rsidRPr="00A4582E">
        <w:t xml:space="preserve"> take-up and relatively uniform pricing for gigabit services.</w:t>
      </w:r>
    </w:p>
    <w:p w14:paraId="65E373EB" w14:textId="77777777" w:rsidR="007E2350" w:rsidRPr="00A4582E" w:rsidRDefault="007E2350" w:rsidP="00BB26E5"/>
    <w:p w14:paraId="6D5365FD" w14:textId="56E4DB78" w:rsidR="00BB26E5" w:rsidRPr="00A4582E" w:rsidRDefault="00DC158F" w:rsidP="00BB26E5">
      <w:r w:rsidRPr="00A4582E">
        <w:t>By decoupling physical infrastructure from service provision, the open-access wholesale model seeks to shift competition away from network ownership toward the retail layer. While this can lower entry barriers for service providers and support price competition, outcomes in terms of service quality, innovation, and customer experience are not guaranteed and depend on market structure, coordination between actors, and operational execution</w:t>
      </w:r>
      <w:r w:rsidR="003A12E7" w:rsidRPr="00A4582E">
        <w:t xml:space="preserve">, </w:t>
      </w:r>
      <w:r w:rsidRPr="00A4582E">
        <w:t xml:space="preserve">considerations </w:t>
      </w:r>
      <w:r w:rsidRPr="00A4582E">
        <w:lastRenderedPageBreak/>
        <w:t>that are relevant in the context of the EU’s Single Digital Market objectives</w:t>
      </w:r>
      <w:r w:rsidR="00BB26E5" w:rsidRPr="00A4582E">
        <w:t>.</w:t>
      </w:r>
      <w:r w:rsidR="008A7303" w:rsidRPr="00A4582E">
        <w:rPr>
          <w:rStyle w:val="EndnoteReference"/>
        </w:rPr>
        <w:endnoteReference w:id="46"/>
      </w:r>
    </w:p>
    <w:p w14:paraId="337C9352" w14:textId="0C2526B3" w:rsidR="00BB26E5" w:rsidRPr="00A4582E" w:rsidRDefault="00BB26E5" w:rsidP="00BB26E5"/>
    <w:p w14:paraId="614AC526" w14:textId="1E597738" w:rsidR="00BB26E5" w:rsidRPr="00A4582E" w:rsidRDefault="00BB26E5" w:rsidP="00F32835">
      <w:r w:rsidRPr="00A4582E">
        <w:rPr>
          <w:b/>
        </w:rPr>
        <w:t>Efficiency and Sustainability</w:t>
      </w:r>
    </w:p>
    <w:p w14:paraId="0DA4C843" w14:textId="533DCEC9" w:rsidR="00A31201" w:rsidRPr="00A4582E" w:rsidRDefault="00A31201" w:rsidP="00BB26E5">
      <w:r w:rsidRPr="00A4582E">
        <w:t xml:space="preserve">Structural separation also improves deployment efficiency and reduces environmental impact. By enabling a single open-access </w:t>
      </w:r>
      <w:r w:rsidR="00D527A2" w:rsidRPr="00A4582E">
        <w:t>fiber</w:t>
      </w:r>
      <w:r w:rsidRPr="00A4582E">
        <w:t xml:space="preserve"> network to support multiple service providers within a given area, infrastructure sharing reduces duplicative network build-out and increases </w:t>
      </w:r>
      <w:r w:rsidR="00D527A2" w:rsidRPr="00A4582E">
        <w:t>utilization</w:t>
      </w:r>
      <w:r w:rsidRPr="00A4582E">
        <w:t xml:space="preserve"> of existing ducts and physical infrastructure. Empirical analysis from Germany shows that coordinated civil works, such as joint trenching of </w:t>
      </w:r>
      <w:r w:rsidR="00D527A2" w:rsidRPr="00A4582E">
        <w:t>fiber</w:t>
      </w:r>
      <w:r w:rsidRPr="00A4582E">
        <w:t xml:space="preserve"> together with electricity networks, can reduce </w:t>
      </w:r>
      <w:r w:rsidR="00D527A2" w:rsidRPr="00A4582E">
        <w:t>fiber</w:t>
      </w:r>
      <w:r w:rsidRPr="00A4582E">
        <w:t>-related civil-works costs by around 30 percent and lower total investment per access line by more than 20 percent.</w:t>
      </w:r>
      <w:r w:rsidR="000D21E0" w:rsidRPr="00A4582E">
        <w:rPr>
          <w:rStyle w:val="EndnoteReference"/>
        </w:rPr>
        <w:endnoteReference w:id="47"/>
      </w:r>
      <w:r w:rsidRPr="00A4582E">
        <w:t xml:space="preserve"> Infrastructure sharing and coordination of civil works are also identified by BEREC as key levers to reduce duplication of physical infrastructure, lower material use and energy consumption, and improve both cost efficiency and environmental sustainability in electronic communications network deployment</w:t>
      </w:r>
      <w:r w:rsidR="000D21E0" w:rsidRPr="00A4582E">
        <w:t>.</w:t>
      </w:r>
      <w:r w:rsidR="00E04486" w:rsidRPr="00A4582E">
        <w:rPr>
          <w:rStyle w:val="EndnoteReference"/>
        </w:rPr>
        <w:endnoteReference w:id="48"/>
      </w:r>
    </w:p>
    <w:p w14:paraId="5DCEEDA9" w14:textId="77777777" w:rsidR="0052291A" w:rsidRPr="00A4582E" w:rsidRDefault="0052291A" w:rsidP="00BB26E5"/>
    <w:p w14:paraId="478C6E33" w14:textId="152BB1CD" w:rsidR="00BB26E5" w:rsidRPr="00A4582E" w:rsidRDefault="00BB26E5" w:rsidP="00BB26E5">
      <w:pPr>
        <w:rPr>
          <w:b/>
          <w:bCs/>
        </w:rPr>
      </w:pPr>
      <w:r w:rsidRPr="00A4582E">
        <w:rPr>
          <w:b/>
          <w:bCs/>
        </w:rPr>
        <w:t>Market Structure</w:t>
      </w:r>
    </w:p>
    <w:p w14:paraId="716C83F3" w14:textId="181DD0BC" w:rsidR="00BB26E5" w:rsidRPr="00A4582E" w:rsidRDefault="0055582B" w:rsidP="00BB26E5">
      <w:r w:rsidRPr="00A4582E">
        <w:t>The</w:t>
      </w:r>
      <w:r w:rsidR="00BB26E5" w:rsidRPr="00A4582E">
        <w:t xml:space="preserve"> open-access </w:t>
      </w:r>
      <w:r w:rsidRPr="00A4582E">
        <w:t>wholesale model</w:t>
      </w:r>
      <w:r w:rsidR="00BB26E5" w:rsidRPr="00A4582E">
        <w:t xml:space="preserve"> </w:t>
      </w:r>
      <w:r w:rsidR="00FB5604" w:rsidRPr="00A4582E">
        <w:t>reduces</w:t>
      </w:r>
      <w:r w:rsidR="007C6C96" w:rsidRPr="00A4582E">
        <w:t xml:space="preserve"> barriers to entry</w:t>
      </w:r>
      <w:r w:rsidR="00BB26E5" w:rsidRPr="00A4582E">
        <w:t xml:space="preserve">, which in turn benefit consumers through lower prices and </w:t>
      </w:r>
      <w:r w:rsidR="001E6668" w:rsidRPr="00A4582E">
        <w:t xml:space="preserve">potential </w:t>
      </w:r>
      <w:r w:rsidR="00BB26E5" w:rsidRPr="00A4582E">
        <w:t>broader service choice. Sweden’s broadband market, with its extensive municipal networks and dozens of competing ISPs, exemplifies this dynamic. RTR notes similar patterns in Austria’s open-access regions, where wholesale neutrality has maintained competition even in smaller markets.</w:t>
      </w:r>
    </w:p>
    <w:p w14:paraId="54B31A00" w14:textId="77777777" w:rsidR="003D48C6" w:rsidRPr="00A4582E" w:rsidRDefault="003D48C6" w:rsidP="00BB26E5"/>
    <w:p w14:paraId="6B0EF0EB" w14:textId="78003212" w:rsidR="00BB26E5" w:rsidRPr="00A4582E" w:rsidRDefault="0051734A" w:rsidP="00BB26E5">
      <w:r w:rsidRPr="00A4582E">
        <w:t xml:space="preserve">Studies by WIK-Consult and BEREC </w:t>
      </w:r>
      <w:r w:rsidR="00BB26E5" w:rsidRPr="00A4582E">
        <w:t>further show that structurally separated networks reduce entry barriers for ISPs and stimulate product innovation. In Sweden, price dispersion for gigabit services is among the lowest in Europe</w:t>
      </w:r>
      <w:r w:rsidR="0072485B" w:rsidRPr="00A4582E">
        <w:t xml:space="preserve">, </w:t>
      </w:r>
      <w:r w:rsidR="00BB26E5" w:rsidRPr="00A4582E">
        <w:t xml:space="preserve">reflecting stable, transparent wholesale terms. These outcomes </w:t>
      </w:r>
      <w:r w:rsidR="008732E4" w:rsidRPr="00A4582E">
        <w:t>illustrate</w:t>
      </w:r>
      <w:r w:rsidR="00BB26E5" w:rsidRPr="00A4582E">
        <w:t xml:space="preserve"> that </w:t>
      </w:r>
      <w:r w:rsidR="00F06A85" w:rsidRPr="00A4582E">
        <w:t>structural</w:t>
      </w:r>
      <w:r w:rsidR="00BB26E5" w:rsidRPr="00A4582E">
        <w:t xml:space="preserve"> separation is not merely a regulatory safeguard but a structural catalyst for competitive, consumer-oriented broadband markets.</w:t>
      </w:r>
    </w:p>
    <w:p w14:paraId="43F7541F" w14:textId="77777777" w:rsidR="00BB26E5" w:rsidRPr="00A4582E" w:rsidRDefault="00BB26E5" w:rsidP="00BB26E5"/>
    <w:p w14:paraId="26AFD1D8" w14:textId="75B35FFE" w:rsidR="00BB26E5" w:rsidRPr="00A4582E" w:rsidRDefault="00BB26E5" w:rsidP="00BB26E5">
      <w:r w:rsidRPr="00A4582E">
        <w:t xml:space="preserve">Collectively, these national experiences confirm that the wholesale-only model </w:t>
      </w:r>
      <w:r w:rsidR="00E36A8B" w:rsidRPr="00A4582E">
        <w:t xml:space="preserve">can </w:t>
      </w:r>
      <w:r w:rsidRPr="00A4582E">
        <w:t>deliver measurable benefits: faster and more efficient deployment, stronger competition, and improved consumer welfare.</w:t>
      </w:r>
      <w:r w:rsidR="00DA529C" w:rsidRPr="00A4582E">
        <w:t xml:space="preserve"> The examples of Sweden, Austria, and Germany show how structural open access can translate into tangible market outcomes</w:t>
      </w:r>
      <w:r w:rsidR="00FF0A57" w:rsidRPr="00A4582E">
        <w:t>.</w:t>
      </w:r>
      <w:r w:rsidRPr="00A4582E">
        <w:t xml:space="preserve"> </w:t>
      </w:r>
    </w:p>
    <w:p w14:paraId="51D12A67" w14:textId="77777777" w:rsidR="00B806E2" w:rsidRPr="00A4582E" w:rsidRDefault="00B806E2" w:rsidP="00BB26E5"/>
    <w:p w14:paraId="56809FE3" w14:textId="7334F45A" w:rsidR="00F32835" w:rsidRPr="00A4582E" w:rsidRDefault="001310A2" w:rsidP="00365408">
      <w:pPr>
        <w:pStyle w:val="Heading3"/>
        <w:numPr>
          <w:ilvl w:val="1"/>
          <w:numId w:val="30"/>
        </w:numPr>
      </w:pPr>
      <w:r w:rsidRPr="00A4582E">
        <w:t>Challenges</w:t>
      </w:r>
      <w:r w:rsidR="00F32835" w:rsidRPr="00A4582E">
        <w:t>, Success Factors and Enabling Conditions</w:t>
      </w:r>
    </w:p>
    <w:p w14:paraId="5658E0F9" w14:textId="27229AD3" w:rsidR="000142E8" w:rsidRPr="00A4582E" w:rsidRDefault="00F32835" w:rsidP="009953F5">
      <w:r w:rsidRPr="00A4582E">
        <w:t>F</w:t>
      </w:r>
      <w:r w:rsidR="00411FF8" w:rsidRPr="00A4582E">
        <w:t xml:space="preserve">ragmented regulation and </w:t>
      </w:r>
      <w:r w:rsidR="006044D3" w:rsidRPr="00A4582E">
        <w:t xml:space="preserve">a </w:t>
      </w:r>
      <w:r w:rsidR="00411FF8" w:rsidRPr="00A4582E">
        <w:t xml:space="preserve">lack of common standards </w:t>
      </w:r>
      <w:r w:rsidR="00182A41" w:rsidRPr="00A4582E">
        <w:t xml:space="preserve">within national markets </w:t>
      </w:r>
      <w:r w:rsidR="00411FF8" w:rsidRPr="00A4582E">
        <w:t xml:space="preserve">can create uncertainty for investors, </w:t>
      </w:r>
      <w:r w:rsidR="006044D3" w:rsidRPr="00A4582E">
        <w:t>particularly where local or regional networks apply differing wholesale terms, technical interfaces, or onboarding processes for service providers. In parallel,</w:t>
      </w:r>
      <w:r w:rsidR="00411FF8" w:rsidRPr="00A4582E">
        <w:t xml:space="preserve"> limited </w:t>
      </w:r>
      <w:r w:rsidR="006044D3" w:rsidRPr="00A4582E">
        <w:t>coordination on demand stimulation at the local level</w:t>
      </w:r>
      <w:r w:rsidR="00411FF8" w:rsidRPr="00A4582E">
        <w:t xml:space="preserve"> may slow </w:t>
      </w:r>
      <w:r w:rsidR="006044D3" w:rsidRPr="00A4582E">
        <w:t xml:space="preserve">retail </w:t>
      </w:r>
      <w:r w:rsidR="00411FF8" w:rsidRPr="00A4582E">
        <w:t>take-up on newly built networks</w:t>
      </w:r>
      <w:r w:rsidR="006044D3" w:rsidRPr="00A4582E">
        <w:t xml:space="preserve">, even where infrastructure is available. These challenges are not structural barriers, but they underline that open-access wholesale models benefit from nationally aligned governance frameworks, </w:t>
      </w:r>
      <w:r w:rsidR="00D527A2" w:rsidRPr="00A4582E">
        <w:t>harmonized</w:t>
      </w:r>
      <w:r w:rsidR="006044D3" w:rsidRPr="00A4582E">
        <w:t xml:space="preserve"> wholesale conditions, and coordinated demand-side initiatives, enabling service providers to scale efficiently across multiple local and regional networks within the same country and thereby </w:t>
      </w:r>
      <w:r w:rsidR="006D6617" w:rsidRPr="00A4582E">
        <w:t>realize</w:t>
      </w:r>
      <w:r w:rsidR="006044D3" w:rsidRPr="00A4582E">
        <w:t xml:space="preserve"> the full potential of the model</w:t>
      </w:r>
      <w:r w:rsidR="00D43B47" w:rsidRPr="00A4582E">
        <w:t>.</w:t>
      </w:r>
      <w:r w:rsidR="005F09BC" w:rsidRPr="005F09BC">
        <w:rPr>
          <w:vertAlign w:val="superscript"/>
        </w:rPr>
        <w:t xml:space="preserve">46, </w:t>
      </w:r>
      <w:r w:rsidR="004C4F34">
        <w:rPr>
          <w:rStyle w:val="EndnoteReference"/>
        </w:rPr>
        <w:endnoteReference w:id="49"/>
      </w:r>
      <w:r w:rsidR="005F09BC" w:rsidRPr="00A4582E">
        <w:t xml:space="preserve"> </w:t>
      </w:r>
    </w:p>
    <w:p w14:paraId="7B10D09C" w14:textId="77777777" w:rsidR="000142E8" w:rsidRPr="00A4582E" w:rsidRDefault="000142E8" w:rsidP="009953F5"/>
    <w:p w14:paraId="5F3EB7EE" w14:textId="62C842AC" w:rsidR="009953F5" w:rsidRPr="00A4582E" w:rsidRDefault="009953F5" w:rsidP="009953F5">
      <w:r w:rsidRPr="00A4582E">
        <w:t xml:space="preserve">The effectiveness of the </w:t>
      </w:r>
      <w:r w:rsidR="0055582B" w:rsidRPr="00A4582E">
        <w:t xml:space="preserve">open-access </w:t>
      </w:r>
      <w:r w:rsidRPr="00A4582E">
        <w:t>wholesale model depends on several institutional and financial enablers:</w:t>
      </w:r>
    </w:p>
    <w:p w14:paraId="59CF9AFE" w14:textId="6DD76721" w:rsidR="00502DAC" w:rsidRPr="00A4582E" w:rsidRDefault="009C0F03" w:rsidP="00DE70E3">
      <w:pPr>
        <w:numPr>
          <w:ilvl w:val="0"/>
          <w:numId w:val="18"/>
        </w:numPr>
      </w:pPr>
      <w:r w:rsidRPr="00A4582E">
        <w:rPr>
          <w:b/>
          <w:bCs/>
        </w:rPr>
        <w:t>Transparent, non-discriminatory, or fair, market-negotiated access</w:t>
      </w:r>
      <w:r w:rsidRPr="00A4582E">
        <w:t xml:space="preserve"> - Cost-oriented wholesale tariffs, published access conditions and predictable SLAs are foundational to trust and uptake on open-access platforms. Efficient mechanisms to ensure fair, market-negotiated access can be an alternative.</w:t>
      </w:r>
      <w:bookmarkStart w:id="11" w:name="_Ref214523221"/>
      <w:r w:rsidRPr="00A4582E">
        <w:rPr>
          <w:rStyle w:val="EndnoteReference"/>
        </w:rPr>
        <w:endnoteReference w:id="50"/>
      </w:r>
      <w:bookmarkEnd w:id="11"/>
      <w:r w:rsidRPr="00A4582E">
        <w:t xml:space="preserve"> </w:t>
      </w:r>
      <w:r w:rsidRPr="00A4582E">
        <w:rPr>
          <w:rStyle w:val="EndnoteReference"/>
        </w:rPr>
        <w:endnoteReference w:id="51"/>
      </w:r>
    </w:p>
    <w:p w14:paraId="4D588244" w14:textId="0A41B3FD" w:rsidR="009953F5" w:rsidRPr="00A4582E" w:rsidRDefault="009953F5" w:rsidP="008B71A6">
      <w:pPr>
        <w:numPr>
          <w:ilvl w:val="0"/>
          <w:numId w:val="18"/>
        </w:numPr>
      </w:pPr>
      <w:r w:rsidRPr="00A4582E">
        <w:rPr>
          <w:b/>
        </w:rPr>
        <w:t>Regulatory Recognition</w:t>
      </w:r>
      <w:r w:rsidRPr="00A4582E">
        <w:t xml:space="preserve"> – Formal status for </w:t>
      </w:r>
      <w:r w:rsidR="00FA26CE" w:rsidRPr="00A4582E">
        <w:t xml:space="preserve">open-access </w:t>
      </w:r>
      <w:r w:rsidRPr="00A4582E">
        <w:t>wholesale operators under the European Electronic Communications Code (EECC) and national frameworks ensures consistent oversight and proportional obligations.</w:t>
      </w:r>
      <w:r w:rsidR="003D0F12" w:rsidRPr="00A4582E">
        <w:fldChar w:fldCharType="begin"/>
      </w:r>
      <w:r w:rsidR="003D0F12" w:rsidRPr="00A4582E">
        <w:instrText xml:space="preserve"> NOTEREF _Ref214523079 \f </w:instrText>
      </w:r>
      <w:r w:rsidR="003D0F12" w:rsidRPr="00A4582E">
        <w:fldChar w:fldCharType="separate"/>
      </w:r>
      <w:r w:rsidR="008B71A6" w:rsidRPr="008B71A6">
        <w:rPr>
          <w:rStyle w:val="EndnoteReference"/>
        </w:rPr>
        <w:t>35</w:t>
      </w:r>
      <w:r w:rsidR="003D0F12" w:rsidRPr="00A4582E">
        <w:fldChar w:fldCharType="end"/>
      </w:r>
      <w:r w:rsidR="003D0F12" w:rsidRPr="00A4582E">
        <w:rPr>
          <w:rStyle w:val="CommentReference"/>
          <w:sz w:val="17"/>
          <w:szCs w:val="20"/>
        </w:rPr>
        <w:t xml:space="preserve"> </w:t>
      </w:r>
    </w:p>
    <w:p w14:paraId="578A4464" w14:textId="724FB9B8" w:rsidR="009953F5" w:rsidRPr="00A4582E" w:rsidRDefault="009953F5" w:rsidP="005532EE">
      <w:pPr>
        <w:numPr>
          <w:ilvl w:val="0"/>
          <w:numId w:val="18"/>
        </w:numPr>
      </w:pPr>
      <w:r w:rsidRPr="00A4582E">
        <w:rPr>
          <w:b/>
        </w:rPr>
        <w:t>Financial Sustainability</w:t>
      </w:r>
      <w:r w:rsidR="005532EE" w:rsidRPr="00A4582E">
        <w:rPr>
          <w:b/>
        </w:rPr>
        <w:t xml:space="preserve"> and Investor Appeal</w:t>
      </w:r>
      <w:r w:rsidRPr="00A4582E">
        <w:t xml:space="preserve"> –</w:t>
      </w:r>
      <w:r w:rsidR="005532EE" w:rsidRPr="00A4582E">
        <w:t xml:space="preserve">OECD analysis on </w:t>
      </w:r>
      <w:r w:rsidR="005532EE" w:rsidRPr="00A4582E">
        <w:rPr>
          <w:i/>
          <w:iCs/>
        </w:rPr>
        <w:t>Financing Broadband Networks of the Future</w:t>
      </w:r>
      <w:r w:rsidR="005532EE" w:rsidRPr="00A4582E">
        <w:t xml:space="preserve"> highlights that predictable wholesale revenues and stable governance are key determinants of private investment</w:t>
      </w:r>
      <w:r w:rsidRPr="00A4582E">
        <w:t>.</w:t>
      </w:r>
      <w:r w:rsidR="00BC1443" w:rsidRPr="00A4582E">
        <w:rPr>
          <w:rStyle w:val="EndnoteReference"/>
        </w:rPr>
        <w:endnoteReference w:id="52"/>
      </w:r>
    </w:p>
    <w:p w14:paraId="6E6E9A6D" w14:textId="1CA6B549" w:rsidR="009953F5" w:rsidRPr="00A4582E" w:rsidRDefault="009953F5" w:rsidP="00133447">
      <w:pPr>
        <w:numPr>
          <w:ilvl w:val="0"/>
          <w:numId w:val="18"/>
        </w:numPr>
      </w:pPr>
      <w:r w:rsidRPr="00A4582E">
        <w:rPr>
          <w:b/>
        </w:rPr>
        <w:t>Infrastructure Sharing Across Sectors</w:t>
      </w:r>
      <w:r w:rsidRPr="00A4582E">
        <w:t xml:space="preserve"> – Integration of fixed broadband and mobile backhaul planning enhances efficiency and sustainability, as highlighted by GSMA and BEREC.</w:t>
      </w:r>
    </w:p>
    <w:p w14:paraId="0D6589FD" w14:textId="718C59E2" w:rsidR="009953F5" w:rsidRPr="00A4582E" w:rsidRDefault="009953F5" w:rsidP="009953F5"/>
    <w:p w14:paraId="31A761C4" w14:textId="6B6C7FB6" w:rsidR="009953F5" w:rsidRPr="00A4582E" w:rsidRDefault="009953F5" w:rsidP="009953F5">
      <w:r w:rsidRPr="00A4582E">
        <w:t xml:space="preserve">The </w:t>
      </w:r>
      <w:r w:rsidR="00A71EC5" w:rsidRPr="00A4582E">
        <w:t xml:space="preserve">open-access </w:t>
      </w:r>
      <w:r w:rsidRPr="00A4582E">
        <w:t xml:space="preserve">wholesale model is a cornerstone of Europe’s effort to balance investment efficiency, competition, and environmental sustainability. </w:t>
      </w:r>
      <w:r w:rsidR="006D6273" w:rsidRPr="00A4582E">
        <w:t>Where</w:t>
      </w:r>
      <w:r w:rsidR="00CC5AD3" w:rsidRPr="00A4582E">
        <w:t xml:space="preserve"> examples from Sweden</w:t>
      </w:r>
      <w:r w:rsidR="00E57EE5" w:rsidRPr="00A4582E">
        <w:t>,</w:t>
      </w:r>
      <w:r w:rsidR="00CC5AD3" w:rsidRPr="00A4582E">
        <w:t xml:space="preserve"> Austria</w:t>
      </w:r>
      <w:r w:rsidR="00BE2939" w:rsidRPr="00A4582E">
        <w:t>,</w:t>
      </w:r>
      <w:r w:rsidRPr="00A4582E">
        <w:t xml:space="preserve"> Germany and co-investment models </w:t>
      </w:r>
      <w:r w:rsidRPr="00A4582E">
        <w:lastRenderedPageBreak/>
        <w:t>confirm that this approach can complement private initiatives and speed rollout.</w:t>
      </w:r>
    </w:p>
    <w:p w14:paraId="72B2BF0A" w14:textId="77777777" w:rsidR="00C12F95" w:rsidRPr="00A4582E" w:rsidRDefault="00C12F95" w:rsidP="009953F5"/>
    <w:p w14:paraId="1C17D1A3" w14:textId="6E45C91F" w:rsidR="007259A7" w:rsidRPr="00A4582E" w:rsidRDefault="007259A7" w:rsidP="00D43B47">
      <w:pPr>
        <w:pStyle w:val="Heading3"/>
      </w:pPr>
      <w:r w:rsidRPr="00A4582E">
        <w:t>3.</w:t>
      </w:r>
      <w:r w:rsidR="004F54D7" w:rsidRPr="00A4582E">
        <w:t>6</w:t>
      </w:r>
      <w:r w:rsidRPr="00A4582E">
        <w:t xml:space="preserve"> The Owner Perspective: Governance, Accountability, and Long-Term Value</w:t>
      </w:r>
    </w:p>
    <w:p w14:paraId="1924D408" w14:textId="683C6847" w:rsidR="006620F6" w:rsidRPr="00A4582E" w:rsidRDefault="007259A7" w:rsidP="006620F6">
      <w:r w:rsidRPr="00A4582E">
        <w:t xml:space="preserve">Municipalities, regional utilities, and cooperatives typically act from a dual rationale: ensuring digital inclusion and maintaining control over critical local infrastructure, while operating on commercial and financially sustainable terms. This “public–commercial” hybrid model allows for longer investment horizons and </w:t>
      </w:r>
      <w:r w:rsidR="006620F6" w:rsidRPr="00A4582E">
        <w:t>the generation of stable, often regulated returns on invested capital, which are typically reinvested into network maintenance, capacity upgrades, and broader local development</w:t>
      </w:r>
      <w:r w:rsidR="00C26A4E" w:rsidRPr="00A4582E">
        <w:t>.</w:t>
      </w:r>
    </w:p>
    <w:p w14:paraId="42D39675" w14:textId="77777777" w:rsidR="00A61BE8" w:rsidRPr="00A4582E" w:rsidRDefault="00A61BE8" w:rsidP="007259A7"/>
    <w:p w14:paraId="113DD92D" w14:textId="226043CD" w:rsidR="007259A7" w:rsidRPr="00A4582E" w:rsidRDefault="00EE3D0C" w:rsidP="007259A7">
      <w:r w:rsidRPr="00A4582E">
        <w:t xml:space="preserve">Public owners typically operate under mandates that </w:t>
      </w:r>
      <w:r w:rsidR="006D6617" w:rsidRPr="00A4582E">
        <w:t>prioritize</w:t>
      </w:r>
      <w:r w:rsidRPr="00A4582E">
        <w:t xml:space="preserve"> long-term service continuity, digital inclusion and support for local welfare, education and economic development. These incentives differ from those of many commercial actors, not in opposition but in emphasis. Municipal networks therefore complement private-sector investment by ensuring that critical digital infrastructure remains closely aligned with community needs and long-term stewardship objectives.</w:t>
      </w:r>
    </w:p>
    <w:p w14:paraId="50AD7FD9" w14:textId="77777777" w:rsidR="00EE3D0C" w:rsidRPr="00A4582E" w:rsidRDefault="00EE3D0C" w:rsidP="007259A7"/>
    <w:p w14:paraId="0CC1537D" w14:textId="786EAFBD" w:rsidR="007259A7" w:rsidRPr="00A4582E" w:rsidRDefault="007259A7" w:rsidP="007259A7">
      <w:r w:rsidRPr="00A4582E">
        <w:t>Owners</w:t>
      </w:r>
      <w:r w:rsidR="001C1D19" w:rsidRPr="00A4582E">
        <w:t xml:space="preserve"> of </w:t>
      </w:r>
      <w:r w:rsidR="00D142C2" w:rsidRPr="00A4582E">
        <w:t>municipality</w:t>
      </w:r>
      <w:r w:rsidR="001C1D19" w:rsidRPr="00A4582E">
        <w:t xml:space="preserve"> operators</w:t>
      </w:r>
      <w:r w:rsidRPr="00A4582E">
        <w:t xml:space="preserve"> </w:t>
      </w:r>
      <w:r w:rsidR="006D6617" w:rsidRPr="00A4582E">
        <w:t>emphasize</w:t>
      </w:r>
      <w:r w:rsidRPr="00A4582E">
        <w:t xml:space="preserve"> neutrality, transparency, and predictability as core values in their governance models. Many establish separate limited-liability entities for network operations to maintain </w:t>
      </w:r>
      <w:r w:rsidR="00F06A85" w:rsidRPr="00A4582E">
        <w:t>structural</w:t>
      </w:r>
      <w:r w:rsidRPr="00A4582E">
        <w:t xml:space="preserve"> separation and financial accountability. The governance approach often mirrors that of other essential local utilities such as energy or district heating.</w:t>
      </w:r>
    </w:p>
    <w:p w14:paraId="6FACA877" w14:textId="77777777" w:rsidR="007259A7" w:rsidRPr="00A4582E" w:rsidRDefault="007259A7" w:rsidP="007259A7"/>
    <w:p w14:paraId="0F6EFB0F" w14:textId="05178BC5" w:rsidR="00FA1BDA" w:rsidRPr="00A4582E" w:rsidRDefault="007259A7" w:rsidP="00A12E67">
      <w:pPr>
        <w:jc w:val="center"/>
      </w:pPr>
      <w:r w:rsidRPr="00A4582E">
        <w:rPr>
          <w:b/>
          <w:bCs/>
          <w:i/>
          <w:iCs/>
          <w:color w:val="E68723"/>
          <w:sz w:val="20"/>
          <w:szCs w:val="22"/>
        </w:rPr>
        <w:t>Interviews with municipal operators in Sweden and Germany highlight a shared perspective: ownership is not about competing with private providers but about ensuring that open infrastructure exists as a platform for competition and innovation</w:t>
      </w:r>
      <w:r w:rsidR="00A12E67" w:rsidRPr="00A4582E">
        <w:rPr>
          <w:b/>
          <w:bCs/>
          <w:i/>
          <w:iCs/>
          <w:color w:val="E68723"/>
          <w:sz w:val="20"/>
          <w:szCs w:val="22"/>
        </w:rPr>
        <w:t>.</w:t>
      </w:r>
    </w:p>
    <w:p w14:paraId="7C3B38E7" w14:textId="77777777" w:rsidR="00FA1BDA" w:rsidRPr="00A4582E" w:rsidRDefault="00FA1BDA" w:rsidP="003024D3"/>
    <w:p w14:paraId="79EDB454" w14:textId="43BC9D8F" w:rsidR="003024D3" w:rsidRPr="00A4582E" w:rsidRDefault="007259A7" w:rsidP="003024D3">
      <w:r w:rsidRPr="00A4582E">
        <w:t>Owners describe their primary value creation not in terms of short-term profit but in regional competitiveness, service reliability, and public trust. This stewardship logic differentiates municipal networks from purely private infrastructure</w:t>
      </w:r>
      <w:r w:rsidR="004E6723" w:rsidRPr="00A4582E">
        <w:t>.</w:t>
      </w:r>
    </w:p>
    <w:p w14:paraId="35417384" w14:textId="77777777" w:rsidR="001E4164" w:rsidRPr="00A4582E" w:rsidRDefault="001E4164" w:rsidP="001E4164">
      <w:pPr>
        <w:pStyle w:val="Bullet"/>
        <w:numPr>
          <w:ilvl w:val="0"/>
          <w:numId w:val="0"/>
        </w:numPr>
        <w:ind w:left="360" w:hanging="360"/>
        <w:jc w:val="both"/>
      </w:pPr>
    </w:p>
    <w:p w14:paraId="3D8681CC" w14:textId="585E9F66" w:rsidR="001E4164" w:rsidRPr="00A4582E" w:rsidRDefault="001E4164" w:rsidP="001E4164">
      <w:pPr>
        <w:pStyle w:val="Heading2"/>
      </w:pPr>
      <w:r w:rsidRPr="00A4582E">
        <w:t>Chapter 4. Maintaining and Future-Proofing Digital Infrastructure</w:t>
      </w:r>
    </w:p>
    <w:p w14:paraId="22E36175" w14:textId="0C652E99" w:rsidR="00461F1C" w:rsidRPr="00A4582E" w:rsidRDefault="00492B55" w:rsidP="00492B55">
      <w:pPr>
        <w:pStyle w:val="Heading3"/>
      </w:pPr>
      <w:r w:rsidRPr="00A4582E">
        <w:t xml:space="preserve">4.1 </w:t>
      </w:r>
      <w:r w:rsidR="00461F1C" w:rsidRPr="00A4582E">
        <w:t>Evolving Requirements</w:t>
      </w:r>
    </w:p>
    <w:p w14:paraId="25AEDCA4" w14:textId="77777777" w:rsidR="0078256A" w:rsidRPr="00A4582E" w:rsidRDefault="001B3666" w:rsidP="0078256A">
      <w:r w:rsidRPr="00A4582E">
        <w:t xml:space="preserve">As mentioned in Chapter 1, </w:t>
      </w:r>
      <w:r w:rsidR="00D51256" w:rsidRPr="00A4582E">
        <w:t>Europe’s connectivity agenda is shifting from rollout and coverage toward reliability</w:t>
      </w:r>
      <w:r w:rsidR="00DE7C01" w:rsidRPr="00A4582E">
        <w:t xml:space="preserve"> (</w:t>
      </w:r>
      <w:r w:rsidR="00194DF5" w:rsidRPr="00A4582E">
        <w:t>the ability of networks to deliver consistent performance and service quality over time</w:t>
      </w:r>
      <w:r w:rsidR="00DE7C01" w:rsidRPr="00A4582E">
        <w:t>)</w:t>
      </w:r>
      <w:r w:rsidR="00D51256" w:rsidRPr="00A4582E">
        <w:t>, resilience</w:t>
      </w:r>
      <w:r w:rsidR="00DE7C01" w:rsidRPr="00A4582E">
        <w:t xml:space="preserve"> (</w:t>
      </w:r>
      <w:r w:rsidR="00B467F4" w:rsidRPr="00A4582E">
        <w:t>the capacity of networks to withstand, adapt to,</w:t>
      </w:r>
      <w:r w:rsidR="00D51256" w:rsidRPr="00A4582E">
        <w:t xml:space="preserve"> and </w:t>
      </w:r>
      <w:r w:rsidR="00B467F4" w:rsidRPr="00A4582E">
        <w:t>rapidly recover from disruptions such as cyberattacks, physical damage, or extreme events</w:t>
      </w:r>
      <w:r w:rsidR="00DE7C01" w:rsidRPr="00A4582E">
        <w:t>)</w:t>
      </w:r>
      <w:r w:rsidR="00D51256" w:rsidRPr="00A4582E">
        <w:t>, and preparedness</w:t>
      </w:r>
      <w:r w:rsidR="00DE7C01" w:rsidRPr="00A4582E">
        <w:t xml:space="preserve"> (</w:t>
      </w:r>
      <w:r w:rsidR="00E54173" w:rsidRPr="00A4582E">
        <w:t>the extent to which governance, redundancy, and contingency planning are in place to manage crises and ensure continuity of critical services</w:t>
      </w:r>
      <w:r w:rsidR="00DE7C01" w:rsidRPr="00A4582E">
        <w:t>)</w:t>
      </w:r>
      <w:r w:rsidR="00D51256" w:rsidRPr="00A4582E">
        <w:t>. As broadband networks underpin critical sectors such as health, energy, transport, and public administration, network resilience and digital sovereignty have become central to Europe’s strategic autonomy.</w:t>
      </w:r>
      <w:r w:rsidR="00CE4562" w:rsidRPr="00A4582E">
        <w:t xml:space="preserve"> They are increasingly treated as essential infrastructure comparable to power grids and water systems.</w:t>
      </w:r>
    </w:p>
    <w:p w14:paraId="532DCE02" w14:textId="77777777" w:rsidR="0078256A" w:rsidRPr="00A4582E" w:rsidRDefault="0078256A" w:rsidP="0078256A"/>
    <w:p w14:paraId="4B79B5BE" w14:textId="2E94E5FC" w:rsidR="000E3874" w:rsidRPr="00A4582E" w:rsidRDefault="0078256A" w:rsidP="00343043">
      <w:r w:rsidRPr="00A4582E">
        <w:t>As societal and economic reliance on digital networks has increased, cyber resilience and continuity of service have become explicit policy priorities at both EU and national level. This is reflected in initiatives such as the NIS2 Directive, which extends cybersecurity and operational-resilience obligations to all essential and important entities, including</w:t>
      </w:r>
      <w:r w:rsidR="000A1E23" w:rsidRPr="00A4582E">
        <w:t xml:space="preserve"> public and private network operators.</w:t>
      </w:r>
      <w:r w:rsidR="00923EE0" w:rsidRPr="00A4582E">
        <w:rPr>
          <w:rStyle w:val="EndnoteReference"/>
        </w:rPr>
        <w:endnoteReference w:id="53"/>
      </w:r>
      <w:r w:rsidR="006A6B1E" w:rsidRPr="00A4582E">
        <w:t xml:space="preserve"> </w:t>
      </w:r>
      <w:r w:rsidR="00343043" w:rsidRPr="00A4582E">
        <w:t>Un</w:t>
      </w:r>
      <w:r w:rsidR="000E3874" w:rsidRPr="00A4582E">
        <w:t>der NIS2, operators are required to implement risk management measures, continuity planning, and incident reporting processes to ensure that communications infrastructure remains operational during disruptions. Local and regional network owners are often well positioned to meet these requirements, as they are embedded in municipal emergency frameworks and maintain close operational links with public institutions and providers of essential services. This proximity facilitates coordination during incidents and supports the practical implementation of resilience and continuity obligations at the local level</w:t>
      </w:r>
    </w:p>
    <w:p w14:paraId="15331F9E" w14:textId="77777777" w:rsidR="000800F4" w:rsidRPr="00A4582E" w:rsidRDefault="000800F4" w:rsidP="000800F4"/>
    <w:p w14:paraId="029F272C" w14:textId="5A6A08F8" w:rsidR="00D23A52" w:rsidRPr="00A4582E" w:rsidRDefault="00D2374B" w:rsidP="002A3BDD">
      <w:r w:rsidRPr="00A4582E">
        <w:t xml:space="preserve">Furthermore, ENISA and BEREC have issued guidance at a regulatory and policy level outlining considerations for </w:t>
      </w:r>
      <w:r w:rsidR="00D2472D" w:rsidRPr="00A4582E">
        <w:t xml:space="preserve">network </w:t>
      </w:r>
      <w:r w:rsidRPr="00A4582E">
        <w:t>operators</w:t>
      </w:r>
      <w:r w:rsidR="00D2472D" w:rsidRPr="00A4582E">
        <w:t>,</w:t>
      </w:r>
      <w:r w:rsidR="004437D8" w:rsidRPr="00A4582E">
        <w:t xml:space="preserve"> including municipality owned operators,</w:t>
      </w:r>
      <w:r w:rsidRPr="00A4582E">
        <w:t xml:space="preserve"> related to supplier dependencies, network architecture, and resilience, including incident preparedness and response</w:t>
      </w:r>
      <w:r w:rsidR="00E1613B" w:rsidRPr="00A4582E">
        <w:t>.</w:t>
      </w:r>
      <w:r w:rsidR="00A7629B" w:rsidRPr="00A4582E">
        <w:fldChar w:fldCharType="begin"/>
      </w:r>
      <w:r w:rsidR="00A7629B" w:rsidRPr="00A4582E">
        <w:instrText xml:space="preserve"> NOTEREF _Ref214523221 \f </w:instrText>
      </w:r>
      <w:r w:rsidR="00BD13AF" w:rsidRPr="00A4582E">
        <w:instrText xml:space="preserve"> \* MERGEFORMAT </w:instrText>
      </w:r>
      <w:r w:rsidR="00A7629B" w:rsidRPr="00A4582E">
        <w:fldChar w:fldCharType="separate"/>
      </w:r>
      <w:r w:rsidR="002A3BDD" w:rsidRPr="002A3BDD">
        <w:rPr>
          <w:rStyle w:val="EndnoteReference"/>
        </w:rPr>
        <w:t>49</w:t>
      </w:r>
      <w:r w:rsidR="00A7629B" w:rsidRPr="00A4582E">
        <w:fldChar w:fldCharType="end"/>
      </w:r>
      <w:r w:rsidR="00323763" w:rsidRPr="00A4582E">
        <w:t xml:space="preserve"> </w:t>
      </w:r>
      <w:r w:rsidR="00323763" w:rsidRPr="00A4582E">
        <w:rPr>
          <w:rStyle w:val="EndnoteReference"/>
        </w:rPr>
        <w:endnoteReference w:id="54"/>
      </w:r>
      <w:r w:rsidR="00E1613B" w:rsidRPr="00A4582E">
        <w:t xml:space="preserve"> For open-access wholesale networks, which interconnect </w:t>
      </w:r>
      <w:r w:rsidR="00E1613B" w:rsidRPr="00A4582E">
        <w:lastRenderedPageBreak/>
        <w:t>multiple service providers, these guidelines help define responsibilities at the infrastructure layer and establish consistent service-level baselines that all retail operators can rely on.</w:t>
      </w:r>
    </w:p>
    <w:p w14:paraId="34933225" w14:textId="77777777" w:rsidR="00D23A52" w:rsidRPr="00A4582E" w:rsidRDefault="00D23A52" w:rsidP="00D23A52"/>
    <w:p w14:paraId="4D2EE39B" w14:textId="1081CE36" w:rsidR="00A7443A" w:rsidRPr="00A4582E" w:rsidRDefault="00A7443A" w:rsidP="009B08D0">
      <w:r w:rsidRPr="00A4582E">
        <w:t>The effectiveness of these frameworks ultimately depends on governance structures capable of integrating resilience into daily operations. Municipal and regional network owners can be well positioned for this task</w:t>
      </w:r>
      <w:r w:rsidR="009B08D0" w:rsidRPr="00A4582E">
        <w:t xml:space="preserve">, </w:t>
      </w:r>
      <w:r w:rsidRPr="00A4582E">
        <w:t>their proximity to communities and integration with other utilities enable effective redundancy and emergency coordination.</w:t>
      </w:r>
    </w:p>
    <w:p w14:paraId="0516E056" w14:textId="77777777" w:rsidR="00E1613B" w:rsidRPr="00A4582E" w:rsidRDefault="00E1613B" w:rsidP="00461F1C"/>
    <w:p w14:paraId="4529A1D6" w14:textId="1D804502" w:rsidR="00B3377A" w:rsidRPr="00A4582E" w:rsidRDefault="00347011" w:rsidP="008B71A6">
      <w:r w:rsidRPr="00A4582E">
        <w:t>BEREC defines resilience as a core attribute in assessing very high-capacity networks; it also expects wholesale reference offers to include SLAs covering availability and repair times.</w:t>
      </w:r>
      <w:r w:rsidR="00184973" w:rsidRPr="00A4582E">
        <w:fldChar w:fldCharType="begin"/>
      </w:r>
      <w:r w:rsidR="00184973" w:rsidRPr="00A4582E">
        <w:instrText xml:space="preserve"> NOTEREF _Ref214523221 \f </w:instrText>
      </w:r>
      <w:r w:rsidR="00184973" w:rsidRPr="00A4582E">
        <w:fldChar w:fldCharType="separate"/>
      </w:r>
      <w:r w:rsidR="008B71A6" w:rsidRPr="008B71A6">
        <w:rPr>
          <w:rStyle w:val="EndnoteReference"/>
        </w:rPr>
        <w:t>49</w:t>
      </w:r>
      <w:r w:rsidR="00184973" w:rsidRPr="00A4582E">
        <w:fldChar w:fldCharType="end"/>
      </w:r>
      <w:r w:rsidRPr="00A4582E">
        <w:t xml:space="preserve"> BEREC’s resilience workshop further highlights operational practices such as redundancy, failover and recovery planning.</w:t>
      </w:r>
      <w:r w:rsidR="000F49C8" w:rsidRPr="00A4582E">
        <w:rPr>
          <w:rStyle w:val="EndnoteReference"/>
        </w:rPr>
        <w:endnoteReference w:id="55"/>
      </w:r>
      <w:r w:rsidRPr="00A4582E">
        <w:t xml:space="preserve"> Taken together, these sources support aligning wholesale products and service levels with resilience standards typically expected of critical communications infrastructure.</w:t>
      </w:r>
    </w:p>
    <w:p w14:paraId="745817A7" w14:textId="77777777" w:rsidR="00347011" w:rsidRPr="00A4582E" w:rsidRDefault="00347011" w:rsidP="00347011"/>
    <w:p w14:paraId="123533B6" w14:textId="77777777" w:rsidR="00461F1C" w:rsidRPr="00A4582E" w:rsidRDefault="00461F1C" w:rsidP="00492B55">
      <w:pPr>
        <w:pStyle w:val="Heading3"/>
      </w:pPr>
      <w:r w:rsidRPr="00A4582E">
        <w:t>4.2 Local Ownership and Operational Resilience</w:t>
      </w:r>
    </w:p>
    <w:p w14:paraId="696C3104" w14:textId="77777777" w:rsidR="009D6355" w:rsidRPr="00A4582E" w:rsidRDefault="009D6355" w:rsidP="009D6355">
      <w:pPr>
        <w:rPr>
          <w:b/>
        </w:rPr>
      </w:pPr>
      <w:r w:rsidRPr="00A4582E">
        <w:rPr>
          <w:b/>
        </w:rPr>
        <w:t>Integration with Multi-Utility Infrastructure</w:t>
      </w:r>
    </w:p>
    <w:p w14:paraId="6148193D" w14:textId="5C48D95E" w:rsidR="00A76B5E" w:rsidRPr="00A4582E" w:rsidRDefault="00A76B5E" w:rsidP="00A76B5E">
      <w:r w:rsidRPr="00A4582E">
        <w:t xml:space="preserve">Municipal networks in Germany are often operated by </w:t>
      </w:r>
      <w:r w:rsidR="00DC013B" w:rsidRPr="00A4582E">
        <w:t xml:space="preserve">local public </w:t>
      </w:r>
      <w:r w:rsidR="006D6617" w:rsidRPr="00A4582E">
        <w:t>fiber</w:t>
      </w:r>
      <w:r w:rsidR="00917EA9" w:rsidRPr="00A4582E">
        <w:t>/</w:t>
      </w:r>
      <w:r w:rsidR="00DC013B" w:rsidRPr="00A4582E">
        <w:t>utility companies t</w:t>
      </w:r>
      <w:r w:rsidRPr="00A4582E">
        <w:t xml:space="preserve">hat also manage electricity, water, or transport infrastructure. This integrated structure enables joint planning of </w:t>
      </w:r>
      <w:r w:rsidR="006D6617" w:rsidRPr="00A4582E">
        <w:t>fiber</w:t>
      </w:r>
      <w:r w:rsidRPr="00A4582E">
        <w:t>, power, and transport corridors, providing route diversity, backup power, and coordinated outage management. The V</w:t>
      </w:r>
      <w:r w:rsidR="00187604" w:rsidRPr="00A4582E">
        <w:t>KU</w:t>
      </w:r>
      <w:r w:rsidRPr="00A4582E">
        <w:t xml:space="preserve"> notes that such cross-sector integration strengthens reliability and recovery capacity during multi-infrastructure incidents</w:t>
      </w:r>
      <w:r w:rsidR="00187604" w:rsidRPr="00A4582E">
        <w:t>.</w:t>
      </w:r>
      <w:r w:rsidR="00187604" w:rsidRPr="00A4582E">
        <w:rPr>
          <w:rStyle w:val="EndnoteReference"/>
        </w:rPr>
        <w:endnoteReference w:id="56"/>
      </w:r>
    </w:p>
    <w:p w14:paraId="25687896" w14:textId="77777777" w:rsidR="00234B23" w:rsidRPr="00A4582E" w:rsidRDefault="00234B23" w:rsidP="00A76B5E"/>
    <w:p w14:paraId="399E51BD" w14:textId="6276E174" w:rsidR="00234B23" w:rsidRPr="00A4582E" w:rsidRDefault="00234B23" w:rsidP="00A76B5E">
      <w:r w:rsidRPr="00A4582E">
        <w:t>Local ownership brings an operational advantage in terms of proximity. Technicians, planners and decision-makers are based within the community, enabling faster incident response and direct coordination with local emergency services, healthcare providers and municipal administrations. These locally anchored capabilities do not replace national or private networks but complement them, contributing to a broader multilayered resilience framework.</w:t>
      </w:r>
    </w:p>
    <w:p w14:paraId="6403CB99" w14:textId="77777777" w:rsidR="009D6355" w:rsidRPr="00A4582E" w:rsidRDefault="009D6355" w:rsidP="009D6355"/>
    <w:p w14:paraId="6BA4F4BA" w14:textId="1AF36C05" w:rsidR="009C680B" w:rsidRPr="00A4582E" w:rsidRDefault="00225B27" w:rsidP="009C680B">
      <w:r w:rsidRPr="00A4582E">
        <w:t xml:space="preserve">In Sweden, energy utilities such as </w:t>
      </w:r>
      <w:proofErr w:type="spellStart"/>
      <w:r w:rsidRPr="00A4582E">
        <w:t>Umeå</w:t>
      </w:r>
      <w:proofErr w:type="spellEnd"/>
      <w:r w:rsidRPr="00A4582E">
        <w:t xml:space="preserve"> Energi (</w:t>
      </w:r>
      <w:proofErr w:type="spellStart"/>
      <w:r w:rsidRPr="00A4582E">
        <w:t>UmeNet</w:t>
      </w:r>
      <w:proofErr w:type="spellEnd"/>
      <w:r w:rsidRPr="00A4582E">
        <w:t>)</w:t>
      </w:r>
      <w:r w:rsidR="00B7391B" w:rsidRPr="00A4582E">
        <w:t xml:space="preserve"> (</w:t>
      </w:r>
      <w:r w:rsidR="00972679" w:rsidRPr="00A4582E">
        <w:t>see Section</w:t>
      </w:r>
      <w:r w:rsidR="00B7391B" w:rsidRPr="00A4582E">
        <w:t xml:space="preserve"> 4.</w:t>
      </w:r>
      <w:r w:rsidR="00FD5526" w:rsidRPr="00A4582E">
        <w:t>4</w:t>
      </w:r>
      <w:r w:rsidR="00B7391B" w:rsidRPr="00A4582E">
        <w:t>)</w:t>
      </w:r>
      <w:r w:rsidRPr="00A4582E">
        <w:t xml:space="preserve"> and </w:t>
      </w:r>
      <w:proofErr w:type="spellStart"/>
      <w:r w:rsidRPr="00A4582E">
        <w:t>Öresundskraft</w:t>
      </w:r>
      <w:proofErr w:type="spellEnd"/>
      <w:r w:rsidRPr="00A4582E">
        <w:t xml:space="preserve"> exemplify </w:t>
      </w:r>
      <w:r w:rsidR="00972679" w:rsidRPr="00A4582E">
        <w:t xml:space="preserve">one approach to </w:t>
      </w:r>
      <w:r w:rsidRPr="00A4582E">
        <w:t xml:space="preserve">multi-utility integration. </w:t>
      </w:r>
      <w:r w:rsidR="006D6617" w:rsidRPr="00A4582E">
        <w:t>Fiber</w:t>
      </w:r>
      <w:r w:rsidRPr="00A4582E">
        <w:t xml:space="preserve"> is deployed alongside district-heating and energy infrastructure, </w:t>
      </w:r>
      <w:r w:rsidR="00972679" w:rsidRPr="00A4582E">
        <w:t>enabling</w:t>
      </w:r>
      <w:r w:rsidRPr="00A4582E">
        <w:t xml:space="preserve"> common access </w:t>
      </w:r>
      <w:r w:rsidRPr="00A4582E">
        <w:t xml:space="preserve">points, shared ducts, and </w:t>
      </w:r>
      <w:r w:rsidR="00972679" w:rsidRPr="00A4582E">
        <w:t>close operational</w:t>
      </w:r>
      <w:r w:rsidRPr="00A4582E">
        <w:t xml:space="preserve"> coordination.</w:t>
      </w:r>
      <w:bookmarkStart w:id="12" w:name="_Ref214522248"/>
      <w:r w:rsidR="00C41703" w:rsidRPr="00A4582E">
        <w:rPr>
          <w:rStyle w:val="EndnoteReference"/>
        </w:rPr>
        <w:endnoteReference w:id="57"/>
      </w:r>
      <w:bookmarkEnd w:id="12"/>
      <w:r w:rsidRPr="00A4582E">
        <w:t xml:space="preserve"> </w:t>
      </w:r>
      <w:r w:rsidR="009C680B" w:rsidRPr="00A4582E">
        <w:t>Similar resilience and restoration capabilities can also be achieved through partnership agreements or joint field-force arrangements, meaning that network operators do not need to be utility-owned to benefit from rapid cross-sector coordination. During local disruptions, such arrangements can enable traffic rerouting and connectivity restoration within hours through proximity to operational staff and direct coordination with emergency services</w:t>
      </w:r>
    </w:p>
    <w:p w14:paraId="5A1CF20B" w14:textId="77777777" w:rsidR="0087364C" w:rsidRPr="00A4582E" w:rsidRDefault="0087364C" w:rsidP="009D6355"/>
    <w:p w14:paraId="63682215" w14:textId="77777777" w:rsidR="009D6355" w:rsidRPr="00A4582E" w:rsidRDefault="009D6355" w:rsidP="009D6355">
      <w:pPr>
        <w:rPr>
          <w:b/>
        </w:rPr>
      </w:pPr>
      <w:r w:rsidRPr="00A4582E">
        <w:rPr>
          <w:b/>
        </w:rPr>
        <w:t>Governance and Compliance Alignment</w:t>
      </w:r>
    </w:p>
    <w:p w14:paraId="1712F4DC" w14:textId="30FFF2BB" w:rsidR="009D6355" w:rsidRPr="00A4582E" w:rsidRDefault="00FF574F" w:rsidP="008C725A">
      <w:r w:rsidRPr="00A4582E">
        <w:t>Local ownership can embed resilience at the level of governance, depending on the institutional and regulatory framework in which networks operate. In open-access models, infrastructure owners</w:t>
      </w:r>
      <w:r w:rsidR="003467C7" w:rsidRPr="00A4582E">
        <w:t xml:space="preserve"> such as </w:t>
      </w:r>
      <w:r w:rsidR="001054C9" w:rsidRPr="00A4582E">
        <w:t>municipal</w:t>
      </w:r>
      <w:r w:rsidR="00587BC9" w:rsidRPr="00A4582E">
        <w:t xml:space="preserve"> networks</w:t>
      </w:r>
      <w:r w:rsidR="001054C9" w:rsidRPr="00A4582E">
        <w:t>,</w:t>
      </w:r>
      <w:r w:rsidRPr="00A4582E">
        <w:t xml:space="preserve"> are structurally separated from retail competition and derive revenues primarily from long-term wholesale utilization rather than short-term customer capture. This design can shift incentives toward network availability, reliability, and predictable service quality, although it does not eliminate the risk of underinvestment or monopoly behavior. Where combined with regulatory oversight and public-interest mandates, such separation may also reduce operational complexity in meeting EECC and NIS2 requirements, as responsibilities for infrastructure security and service provision are more clearly delineated</w:t>
      </w:r>
      <w:r w:rsidR="008C725A" w:rsidRPr="00A4582E">
        <w:t>.</w:t>
      </w:r>
      <w:r w:rsidR="000D0C95" w:rsidRPr="00A4582E">
        <w:rPr>
          <w:rStyle w:val="EndnoteReference"/>
        </w:rPr>
        <w:endnoteReference w:id="58"/>
      </w:r>
    </w:p>
    <w:p w14:paraId="6EE980C3" w14:textId="77777777" w:rsidR="0087364C" w:rsidRPr="00A4582E" w:rsidRDefault="0087364C" w:rsidP="00C8040B"/>
    <w:p w14:paraId="5D53B51C" w14:textId="63A09F31" w:rsidR="00DD4B1B" w:rsidRPr="00A4582E" w:rsidRDefault="009D6355" w:rsidP="00DD4B1B">
      <w:r w:rsidRPr="00A4582E">
        <w:t xml:space="preserve">National regulators such as PTS (Sweden) and RTR (Austria) provide guidance on robust </w:t>
      </w:r>
      <w:r w:rsidR="001B330F" w:rsidRPr="00A4582E">
        <w:t>fiber</w:t>
      </w:r>
      <w:r w:rsidRPr="00A4582E">
        <w:t xml:space="preserve"> design</w:t>
      </w:r>
      <w:r w:rsidR="00CC44F1" w:rsidRPr="00A4582E">
        <w:t xml:space="preserve">, </w:t>
      </w:r>
      <w:r w:rsidRPr="00A4582E">
        <w:t>covering site hardening, route diversity, escalation paths, and periodic exercises with authorities.</w:t>
      </w:r>
      <w:r w:rsidR="00C43B02" w:rsidRPr="00A4582E">
        <w:rPr>
          <w:rStyle w:val="EndnoteReference"/>
        </w:rPr>
        <w:endnoteReference w:id="59"/>
      </w:r>
      <w:r w:rsidR="00B503B2" w:rsidRPr="00A4582E">
        <w:t xml:space="preserve"> </w:t>
      </w:r>
      <w:r w:rsidR="00B503B2" w:rsidRPr="00A4582E">
        <w:rPr>
          <w:rStyle w:val="EndnoteReference"/>
        </w:rPr>
        <w:endnoteReference w:id="60"/>
      </w:r>
      <w:r w:rsidRPr="00A4582E">
        <w:t xml:space="preserve"> </w:t>
      </w:r>
      <w:r w:rsidR="00DD4B1B" w:rsidRPr="00A4582E">
        <w:t>In principle, these measures can be applied regardless of ownership model, including in areas with overlapping networks or in vertically integrated, privately owned networks. However, open-access infrastructure models tend to facilitate more uniform implementation, as resilience requirements are addressed once at the infrastructure layer and subsequently benefit all retail providers relying on the same physical network, reducing coordination needs and potential duplication</w:t>
      </w:r>
      <w:r w:rsidR="00353151" w:rsidRPr="00A4582E">
        <w:t>.</w:t>
      </w:r>
    </w:p>
    <w:p w14:paraId="6CB5AFB8" w14:textId="77777777" w:rsidR="009D6355" w:rsidRPr="00A4582E" w:rsidRDefault="009D6355" w:rsidP="009D6355"/>
    <w:p w14:paraId="53298AC0" w14:textId="41AFAD62" w:rsidR="00185C6D" w:rsidRPr="00A4582E" w:rsidRDefault="00185C6D" w:rsidP="00185C6D">
      <w:r w:rsidRPr="00A4582E">
        <w:t xml:space="preserve">Because these networks often connect schools, hospitals, and public utilities, they can, where they hold a significant local footprint, act as intermediaries between national security authorities and retail providers in matters related to critical information infrastructure. This role is not unique to municipally owned networks and may also arise in privately owned or monopolistic network settings, or shift over time in </w:t>
      </w:r>
      <w:r w:rsidRPr="00A4582E">
        <w:lastRenderedPageBreak/>
        <w:t>the presence of overbuild and increased competition. As such, any contribution to the protection of critical information infrastructure at the community level depends on local market structure, governance arrangements, and regulatory frameworks rather than ownership per se</w:t>
      </w:r>
    </w:p>
    <w:p w14:paraId="138A71AF" w14:textId="77777777" w:rsidR="008E6C6E" w:rsidRPr="00A4582E" w:rsidRDefault="008E6C6E" w:rsidP="009D6355"/>
    <w:p w14:paraId="14B06BF4" w14:textId="5C4C1232" w:rsidR="00C42E14" w:rsidRPr="00A4582E" w:rsidRDefault="001735EA" w:rsidP="001735EA">
      <w:pPr>
        <w:pStyle w:val="Heading3"/>
        <w:rPr>
          <w:b w:val="0"/>
          <w:bCs/>
        </w:rPr>
      </w:pPr>
      <w:r w:rsidRPr="00A4582E">
        <w:t xml:space="preserve">4.3 </w:t>
      </w:r>
      <w:r w:rsidR="00CE7E2E" w:rsidRPr="00A4582E">
        <w:t>The Societal Role of Future-Proof Connectivity</w:t>
      </w:r>
    </w:p>
    <w:p w14:paraId="6AEB0ED7" w14:textId="6240B23A" w:rsidR="00257F30" w:rsidRPr="00A4582E" w:rsidRDefault="00B523BD" w:rsidP="00257F30">
      <w:r w:rsidRPr="00A4582E">
        <w:t xml:space="preserve">Europe’s next phase of </w:t>
      </w:r>
      <w:r w:rsidR="00CE7E2E" w:rsidRPr="00A4582E">
        <w:t>digitalization</w:t>
      </w:r>
      <w:r w:rsidRPr="00A4582E">
        <w:t xml:space="preserve"> will depend on high-capacity, reliable broadband infrastructure that can support essential public and private services. </w:t>
      </w:r>
      <w:r w:rsidR="001B330F" w:rsidRPr="00A4582E">
        <w:t>Fiber</w:t>
      </w:r>
      <w:r w:rsidRPr="00A4582E">
        <w:t xml:space="preserve"> networks are no longer only communication assets</w:t>
      </w:r>
      <w:r w:rsidR="00CE7E2E" w:rsidRPr="00A4582E">
        <w:t xml:space="preserve">, </w:t>
      </w:r>
      <w:r w:rsidRPr="00A4582E">
        <w:t>they are becoming critical enablers of health, education, energy and local governance.</w:t>
      </w:r>
    </w:p>
    <w:p w14:paraId="5CB56FFD" w14:textId="77777777" w:rsidR="00257F30" w:rsidRPr="00A4582E" w:rsidRDefault="00257F30" w:rsidP="00257F30"/>
    <w:p w14:paraId="6506E440" w14:textId="52F4662E" w:rsidR="00134A2D" w:rsidRPr="00A4582E" w:rsidRDefault="00B523BD" w:rsidP="000725E6">
      <w:r w:rsidRPr="00A4582E">
        <w:t>The European Commission</w:t>
      </w:r>
      <w:r w:rsidR="00C8204B" w:rsidRPr="00A4582E">
        <w:t xml:space="preserve"> </w:t>
      </w:r>
      <w:r w:rsidRPr="00A4582E">
        <w:t xml:space="preserve">identify </w:t>
      </w:r>
      <w:r w:rsidR="001B330F" w:rsidRPr="00A4582E">
        <w:t>fiber</w:t>
      </w:r>
      <w:r w:rsidRPr="00A4582E">
        <w:t>-based very-high-capacity networks (VHCNs) as the foundation for future societal and economic resilience.</w:t>
      </w:r>
      <w:r w:rsidR="000725E6" w:rsidRPr="00A4582E">
        <w:rPr>
          <w:rStyle w:val="EndnoteReference"/>
        </w:rPr>
        <w:endnoteReference w:id="61"/>
      </w:r>
      <w:r w:rsidRPr="00A4582E">
        <w:t xml:space="preserve"> They underline that applications such as remote healthcare, cloud-based education, digital public services, and smart-energy systems require symmetric</w:t>
      </w:r>
      <w:r w:rsidR="00257F30" w:rsidRPr="00A4582E">
        <w:t xml:space="preserve"> </w:t>
      </w:r>
      <w:r w:rsidR="001B330F" w:rsidRPr="00A4582E">
        <w:t>fiber</w:t>
      </w:r>
      <w:r w:rsidRPr="00A4582E">
        <w:t xml:space="preserve"> connectivity to every home and business. Without such capacity, citizens cannot fully benefit from “hospital-at-home” solutions, tele-rehabilitation, distance learning or AI-based municipal services</w:t>
      </w:r>
      <w:r w:rsidR="00E511D2" w:rsidRPr="00A4582E">
        <w:t xml:space="preserve">, </w:t>
      </w:r>
      <w:r w:rsidRPr="00A4582E">
        <w:t>making broadband a prerequisite for a future-proof Europe.</w:t>
      </w:r>
    </w:p>
    <w:p w14:paraId="76558F29" w14:textId="77777777" w:rsidR="000725E6" w:rsidRPr="00A4582E" w:rsidRDefault="000725E6" w:rsidP="000725E6"/>
    <w:p w14:paraId="347F2A0F" w14:textId="09FC172D" w:rsidR="00134A2D" w:rsidRPr="00A4582E" w:rsidRDefault="00B523BD" w:rsidP="00134A2D">
      <w:r w:rsidRPr="00A4582E">
        <w:t>The OECD</w:t>
      </w:r>
      <w:r w:rsidR="008C3EAC" w:rsidRPr="00A4582E">
        <w:t xml:space="preserve"> Digital Economy Outlook 2024</w:t>
      </w:r>
      <w:r w:rsidRPr="00A4582E">
        <w:t xml:space="preserve"> likewise highlights that </w:t>
      </w:r>
      <w:r w:rsidR="00A23E6F" w:rsidRPr="00A4582E">
        <w:t>very high speed</w:t>
      </w:r>
      <w:r w:rsidRPr="00A4582E">
        <w:t xml:space="preserve"> connectivity is essential for equal participation in digital health, education, and work, noting that regional disparities in high-speed access risk deepening social inequality and economic divides.</w:t>
      </w:r>
      <w:r w:rsidR="00F13D3A" w:rsidRPr="00A4582E">
        <w:rPr>
          <w:rStyle w:val="EndnoteReference"/>
        </w:rPr>
        <w:endnoteReference w:id="62"/>
      </w:r>
      <w:r w:rsidRPr="00A4582E">
        <w:t xml:space="preserve"> </w:t>
      </w:r>
      <w:r w:rsidR="001B330F" w:rsidRPr="00A4582E">
        <w:t>Fiber</w:t>
      </w:r>
      <w:r w:rsidRPr="00A4582E">
        <w:t xml:space="preserve"> networks that reach rural and semi-rural areas therefore represent a key social-inclusion policy.</w:t>
      </w:r>
    </w:p>
    <w:p w14:paraId="1C777F51" w14:textId="77777777" w:rsidR="00134A2D" w:rsidRPr="00A4582E" w:rsidRDefault="00134A2D" w:rsidP="00134A2D"/>
    <w:p w14:paraId="79F72602" w14:textId="70225560" w:rsidR="00B523BD" w:rsidRPr="00A4582E" w:rsidRDefault="001A2123" w:rsidP="00134A2D">
      <w:r w:rsidRPr="00A4582E">
        <w:t>M</w:t>
      </w:r>
      <w:r w:rsidR="00B523BD" w:rsidRPr="00A4582E">
        <w:t xml:space="preserve">unicipal and regional </w:t>
      </w:r>
      <w:r w:rsidR="001B330F" w:rsidRPr="00A4582E">
        <w:t>fiber</w:t>
      </w:r>
      <w:r w:rsidR="00B523BD" w:rsidRPr="00A4582E">
        <w:t xml:space="preserve"> networks are </w:t>
      </w:r>
      <w:r w:rsidR="006753FC" w:rsidRPr="00A4582E">
        <w:t xml:space="preserve">today </w:t>
      </w:r>
      <w:r w:rsidR="00B523BD" w:rsidRPr="00A4582E">
        <w:t>not only instruments of connectivity but pillars of Europe’s future welfare systems. They enable smart hospitals, digital classrooms, and energy-efficient cities</w:t>
      </w:r>
      <w:r w:rsidR="006839B8" w:rsidRPr="00A4582E">
        <w:t>.</w:t>
      </w:r>
      <w:r w:rsidR="00B523BD" w:rsidRPr="00A4582E">
        <w:t xml:space="preserve"> </w:t>
      </w:r>
      <w:r w:rsidR="006839B8" w:rsidRPr="00A4582E">
        <w:t>T</w:t>
      </w:r>
      <w:r w:rsidR="00B523BD" w:rsidRPr="00A4582E">
        <w:t>hey balance regional development</w:t>
      </w:r>
      <w:r w:rsidR="005A4A31" w:rsidRPr="00A4582E">
        <w:t>,</w:t>
      </w:r>
      <w:r w:rsidR="00B523BD" w:rsidRPr="00A4582E">
        <w:t xml:space="preserve"> and they help safeguard Europe’s capacity to deliver inclusive, secure, and sustainable digital services for decades to come.</w:t>
      </w:r>
    </w:p>
    <w:p w14:paraId="7F114C13" w14:textId="77777777" w:rsidR="00C42E14" w:rsidRPr="00A4582E" w:rsidRDefault="00C42E14" w:rsidP="00461F1C"/>
    <w:p w14:paraId="484C9BF7" w14:textId="59C6C8FE" w:rsidR="00CA58FF" w:rsidRPr="00A4582E" w:rsidRDefault="00461F1C" w:rsidP="00492B55">
      <w:pPr>
        <w:pStyle w:val="Heading3"/>
      </w:pPr>
      <w:r w:rsidRPr="00A4582E">
        <w:t>4.</w:t>
      </w:r>
      <w:r w:rsidR="00C42E14" w:rsidRPr="00A4582E">
        <w:t>4</w:t>
      </w:r>
      <w:r w:rsidRPr="00A4582E">
        <w:t xml:space="preserve"> </w:t>
      </w:r>
      <w:r w:rsidR="004574BD" w:rsidRPr="00A4582E">
        <w:t>Resilient and Sustainable Broadband through Local and Regional Governance</w:t>
      </w:r>
    </w:p>
    <w:p w14:paraId="7089F1C2" w14:textId="77777777" w:rsidR="00D20C7E" w:rsidRPr="00A4582E" w:rsidRDefault="00D20C7E" w:rsidP="00D20C7E">
      <w:pPr>
        <w:rPr>
          <w:b/>
          <w:bCs/>
        </w:rPr>
      </w:pPr>
      <w:r w:rsidRPr="00A4582E">
        <w:rPr>
          <w:b/>
          <w:bCs/>
        </w:rPr>
        <w:t xml:space="preserve">Sweden – </w:t>
      </w:r>
      <w:proofErr w:type="spellStart"/>
      <w:r w:rsidRPr="00A4582E">
        <w:rPr>
          <w:b/>
          <w:bCs/>
        </w:rPr>
        <w:t>Karlstads</w:t>
      </w:r>
      <w:proofErr w:type="spellEnd"/>
      <w:r w:rsidRPr="00A4582E">
        <w:rPr>
          <w:b/>
          <w:bCs/>
        </w:rPr>
        <w:t xml:space="preserve"> Energi / </w:t>
      </w:r>
      <w:proofErr w:type="spellStart"/>
      <w:r w:rsidRPr="00A4582E">
        <w:rPr>
          <w:b/>
          <w:bCs/>
        </w:rPr>
        <w:t>Karlstads</w:t>
      </w:r>
      <w:proofErr w:type="spellEnd"/>
      <w:r w:rsidRPr="00A4582E">
        <w:rPr>
          <w:b/>
          <w:bCs/>
        </w:rPr>
        <w:t xml:space="preserve"> </w:t>
      </w:r>
      <w:proofErr w:type="spellStart"/>
      <w:r w:rsidRPr="00A4582E">
        <w:rPr>
          <w:b/>
          <w:bCs/>
        </w:rPr>
        <w:t>Stadsnät</w:t>
      </w:r>
      <w:proofErr w:type="spellEnd"/>
    </w:p>
    <w:p w14:paraId="34B64908" w14:textId="07FE86A9" w:rsidR="00C21C98" w:rsidRPr="00A4582E" w:rsidRDefault="00C21C98" w:rsidP="00C21C98">
      <w:proofErr w:type="spellStart"/>
      <w:r w:rsidRPr="00A4582E">
        <w:t>Karlstads</w:t>
      </w:r>
      <w:proofErr w:type="spellEnd"/>
      <w:r w:rsidRPr="00A4582E">
        <w:t xml:space="preserve"> </w:t>
      </w:r>
      <w:proofErr w:type="spellStart"/>
      <w:r w:rsidRPr="00A4582E">
        <w:t>Stadsnät</w:t>
      </w:r>
      <w:proofErr w:type="spellEnd"/>
      <w:r w:rsidRPr="00A4582E">
        <w:t xml:space="preserve"> is operated through the municipal multi-utility </w:t>
      </w:r>
      <w:proofErr w:type="spellStart"/>
      <w:r w:rsidRPr="00A4582E">
        <w:t>Karlstads</w:t>
      </w:r>
      <w:proofErr w:type="spellEnd"/>
      <w:r w:rsidRPr="00A4582E">
        <w:t xml:space="preserve"> Energi and forms part of the wider Karlstad </w:t>
      </w:r>
      <w:proofErr w:type="spellStart"/>
      <w:r w:rsidRPr="00A4582E">
        <w:t>Stadshus</w:t>
      </w:r>
      <w:proofErr w:type="spellEnd"/>
      <w:r w:rsidRPr="00A4582E">
        <w:t xml:space="preserve"> AB group. The network is embedded in a coordinated governance structure where municipal companies and departments align infrastructure, </w:t>
      </w:r>
      <w:r w:rsidR="001B330F" w:rsidRPr="00A4582E">
        <w:t>digitalization</w:t>
      </w:r>
      <w:r w:rsidRPr="00A4582E">
        <w:t xml:space="preserve"> and crisis-preparedness planning. This integration ensures that the </w:t>
      </w:r>
      <w:r w:rsidR="001B330F" w:rsidRPr="00A4582E">
        <w:t>fiber</w:t>
      </w:r>
      <w:r w:rsidRPr="00A4582E">
        <w:t xml:space="preserve"> network is treated as essential local infrastructure rather than as an isolated commercial activity.</w:t>
      </w:r>
    </w:p>
    <w:p w14:paraId="501C817C" w14:textId="77777777" w:rsidR="00C21C98" w:rsidRPr="00A4582E" w:rsidRDefault="00C21C98" w:rsidP="00C21C98"/>
    <w:p w14:paraId="70A05A1F" w14:textId="2F1EB97D" w:rsidR="00C21C98" w:rsidRPr="00A4582E" w:rsidRDefault="00C21C98" w:rsidP="00C21C98">
      <w:r w:rsidRPr="00A4582E">
        <w:t xml:space="preserve">Local ownership gives the municipality long-term control over a critical asset and enables reinvestment, operational continuity and close coordination with other municipal services. The network supports both public-sector IT and emerging digital solutions in welfare, healthcare and smart-city development. Interviewees </w:t>
      </w:r>
      <w:r w:rsidR="001B330F" w:rsidRPr="00A4582E">
        <w:t>emphasize</w:t>
      </w:r>
      <w:r w:rsidRPr="00A4582E">
        <w:t xml:space="preserve"> that this collaboration would be far more difficult with national operators, since Karlstad requires a partner that can engage directly in municipal </w:t>
      </w:r>
      <w:r w:rsidR="001B330F" w:rsidRPr="00A4582E">
        <w:t>digitalization</w:t>
      </w:r>
      <w:r w:rsidRPr="00A4582E">
        <w:t xml:space="preserve"> and IoT initiatives.</w:t>
      </w:r>
    </w:p>
    <w:p w14:paraId="7EC28EA1" w14:textId="77777777" w:rsidR="00A028FE" w:rsidRPr="00A4582E" w:rsidRDefault="00A028FE" w:rsidP="00C21C98"/>
    <w:p w14:paraId="1599BA73" w14:textId="167B68E6" w:rsidR="00A028FE" w:rsidRPr="00A4582E" w:rsidRDefault="00A028FE" w:rsidP="00A028FE">
      <w:r w:rsidRPr="00A4582E">
        <w:t xml:space="preserve">At the same time, </w:t>
      </w:r>
      <w:proofErr w:type="spellStart"/>
      <w:r w:rsidRPr="00A4582E">
        <w:t>Karlstads</w:t>
      </w:r>
      <w:proofErr w:type="spellEnd"/>
      <w:r w:rsidRPr="00A4582E">
        <w:t xml:space="preserve"> </w:t>
      </w:r>
      <w:proofErr w:type="spellStart"/>
      <w:r w:rsidRPr="00A4582E">
        <w:t>Stadsnät</w:t>
      </w:r>
      <w:proofErr w:type="spellEnd"/>
      <w:r w:rsidRPr="00A4582E">
        <w:t xml:space="preserve"> operates as a wholesale provider, offering open and non-discriminatory access to multiple retail service providers. This dual role allows the municipality to address its own </w:t>
      </w:r>
      <w:r w:rsidR="00712616" w:rsidRPr="00A4582E">
        <w:t>digitalization</w:t>
      </w:r>
      <w:r w:rsidRPr="00A4582E">
        <w:t xml:space="preserve"> needs while simultaneously enabling competition and service diversity in the local telecom market</w:t>
      </w:r>
    </w:p>
    <w:p w14:paraId="52AE3C90" w14:textId="77777777" w:rsidR="00C21C98" w:rsidRPr="00A4582E" w:rsidRDefault="00C21C98" w:rsidP="00C21C98"/>
    <w:p w14:paraId="01565056" w14:textId="0FCD4E48" w:rsidR="00C21C98" w:rsidRPr="00A4582E" w:rsidRDefault="00C21C98" w:rsidP="00C21C98">
      <w:r w:rsidRPr="00A4582E">
        <w:t xml:space="preserve">Karlstad benefits from local operational capacity, with on-site technical staff familiar with local conditions. This is important across both urban districts and rural areas, where rapid fault handling and close cooperation with welfare and emergency services are essential. The municipality also participates in regional collaborations such as </w:t>
      </w:r>
      <w:proofErr w:type="spellStart"/>
      <w:r w:rsidRPr="00A4582E">
        <w:t>MittNät</w:t>
      </w:r>
      <w:proofErr w:type="spellEnd"/>
      <w:r w:rsidRPr="00A4582E">
        <w:t xml:space="preserve"> and </w:t>
      </w:r>
      <w:proofErr w:type="spellStart"/>
      <w:r w:rsidR="00C55738" w:rsidRPr="00A4582E">
        <w:t>Nodena</w:t>
      </w:r>
      <w:proofErr w:type="spellEnd"/>
      <w:r w:rsidRPr="00A4582E">
        <w:t>, which strengthen resilience and allow knowledge sharing across municipal networks.</w:t>
      </w:r>
    </w:p>
    <w:p w14:paraId="6754958F" w14:textId="77777777" w:rsidR="00C21C98" w:rsidRPr="00A4582E" w:rsidRDefault="00C21C98" w:rsidP="00C21C98"/>
    <w:p w14:paraId="7B0E504C" w14:textId="61A012C3" w:rsidR="00D20C7E" w:rsidRPr="00A4582E" w:rsidRDefault="00C21C98" w:rsidP="00C21C98">
      <w:r w:rsidRPr="00A4582E">
        <w:t xml:space="preserve">Karlstad’s experience illustrates how a city network embedded in municipal governance can combine resilient infrastructure, long-term planning and strong local accountability. The model supports digital public services, healthcare at home, smart-city functions and crisis preparedness, demonstrating the broader societal role that locally owned </w:t>
      </w:r>
      <w:r w:rsidR="00365DE3" w:rsidRPr="00A4582E">
        <w:t>fiber</w:t>
      </w:r>
      <w:r w:rsidRPr="00A4582E">
        <w:t xml:space="preserve"> networks can play.</w:t>
      </w:r>
    </w:p>
    <w:p w14:paraId="60B942F1" w14:textId="77777777" w:rsidR="00D20C7E" w:rsidRPr="00A4582E" w:rsidRDefault="00D20C7E" w:rsidP="00461F1C">
      <w:pPr>
        <w:rPr>
          <w:b/>
          <w:bCs/>
        </w:rPr>
      </w:pPr>
    </w:p>
    <w:p w14:paraId="20E4B901" w14:textId="77777777" w:rsidR="00461F1C" w:rsidRPr="00A4582E" w:rsidRDefault="00461F1C" w:rsidP="00461F1C">
      <w:pPr>
        <w:rPr>
          <w:b/>
        </w:rPr>
      </w:pPr>
      <w:r w:rsidRPr="00A4582E">
        <w:rPr>
          <w:b/>
        </w:rPr>
        <w:t xml:space="preserve">Sweden – </w:t>
      </w:r>
      <w:proofErr w:type="spellStart"/>
      <w:r w:rsidRPr="00A4582E">
        <w:rPr>
          <w:b/>
        </w:rPr>
        <w:t>Umeå</w:t>
      </w:r>
      <w:proofErr w:type="spellEnd"/>
      <w:r w:rsidRPr="00A4582E">
        <w:rPr>
          <w:b/>
        </w:rPr>
        <w:t xml:space="preserve"> Energi / </w:t>
      </w:r>
      <w:proofErr w:type="spellStart"/>
      <w:r w:rsidRPr="00A4582E">
        <w:rPr>
          <w:b/>
        </w:rPr>
        <w:t>UmeNet</w:t>
      </w:r>
      <w:proofErr w:type="spellEnd"/>
    </w:p>
    <w:p w14:paraId="31779203" w14:textId="358B9D05" w:rsidR="00003D0F" w:rsidRPr="00A4582E" w:rsidRDefault="00003D0F" w:rsidP="008B71A6">
      <w:proofErr w:type="spellStart"/>
      <w:r w:rsidRPr="00A4582E">
        <w:t>UmeNet</w:t>
      </w:r>
      <w:proofErr w:type="spellEnd"/>
      <w:r w:rsidRPr="00A4582E">
        <w:t xml:space="preserve">, operated by the municipal multi-utility </w:t>
      </w:r>
      <w:proofErr w:type="spellStart"/>
      <w:r w:rsidRPr="00A4582E">
        <w:t>Umeå</w:t>
      </w:r>
      <w:proofErr w:type="spellEnd"/>
      <w:r w:rsidRPr="00A4582E">
        <w:t xml:space="preserve"> Energi, </w:t>
      </w:r>
      <w:r w:rsidR="00C977FC" w:rsidRPr="00A4582E">
        <w:t>illustrate</w:t>
      </w:r>
      <w:r w:rsidRPr="00A4582E">
        <w:t xml:space="preserve"> how local ownership and technical governance create robust, future-proof broadband infrastructure. </w:t>
      </w:r>
      <w:proofErr w:type="spellStart"/>
      <w:r w:rsidRPr="00A4582E">
        <w:t>Umeå</w:t>
      </w:r>
      <w:proofErr w:type="spellEnd"/>
      <w:r w:rsidRPr="00A4582E">
        <w:t xml:space="preserve"> Energi delivers electricity, district </w:t>
      </w:r>
      <w:r w:rsidRPr="00A4582E">
        <w:lastRenderedPageBreak/>
        <w:t xml:space="preserve">heating, and </w:t>
      </w:r>
      <w:r w:rsidR="00365DE3" w:rsidRPr="00A4582E">
        <w:t>fiber</w:t>
      </w:r>
      <w:r w:rsidRPr="00A4582E">
        <w:t xml:space="preserve"> within a single </w:t>
      </w:r>
      <w:r w:rsidR="00365DE3" w:rsidRPr="00A4582E">
        <w:t>organization</w:t>
      </w:r>
      <w:r w:rsidRPr="00A4582E">
        <w:t xml:space="preserve">, enabling joint planning and co-laying of energy and </w:t>
      </w:r>
      <w:r w:rsidR="00365DE3" w:rsidRPr="00A4582E">
        <w:t>fiber</w:t>
      </w:r>
      <w:r w:rsidRPr="00A4582E">
        <w:t xml:space="preserve"> ducts, which </w:t>
      </w:r>
      <w:r w:rsidR="003C258C" w:rsidRPr="00A4582E">
        <w:t xml:space="preserve">may </w:t>
      </w:r>
      <w:r w:rsidRPr="00A4582E">
        <w:t>reduces excavation, costs, and environmental impact.</w:t>
      </w:r>
      <w:r w:rsidR="005073FC" w:rsidRPr="00A4582E">
        <w:fldChar w:fldCharType="begin"/>
      </w:r>
      <w:r w:rsidR="005073FC" w:rsidRPr="00A4582E">
        <w:instrText xml:space="preserve"> NOTEREF _Ref214522248 \f </w:instrText>
      </w:r>
      <w:r w:rsidR="005073FC" w:rsidRPr="00A4582E">
        <w:fldChar w:fldCharType="separate"/>
      </w:r>
      <w:r w:rsidR="008B71A6" w:rsidRPr="008B71A6">
        <w:rPr>
          <w:rStyle w:val="EndnoteReference"/>
        </w:rPr>
        <w:t>56</w:t>
      </w:r>
      <w:r w:rsidR="005073FC" w:rsidRPr="00A4582E">
        <w:fldChar w:fldCharType="end"/>
      </w:r>
      <w:r w:rsidR="009610C2" w:rsidRPr="00A4582E">
        <w:t xml:space="preserve"> </w:t>
      </w:r>
      <w:r w:rsidRPr="00A4582E">
        <w:t xml:space="preserve">Under its </w:t>
      </w:r>
      <w:r w:rsidR="00471F16" w:rsidRPr="00A4582E">
        <w:t>robust broadband</w:t>
      </w:r>
      <w:r w:rsidRPr="00A4582E">
        <w:t xml:space="preserve">, </w:t>
      </w:r>
      <w:proofErr w:type="spellStart"/>
      <w:r w:rsidRPr="00A4582E">
        <w:t>Umeå</w:t>
      </w:r>
      <w:proofErr w:type="spellEnd"/>
      <w:r w:rsidRPr="00A4582E">
        <w:t xml:space="preserve"> Energi builds ring-structured, redundant networks</w:t>
      </w:r>
      <w:r w:rsidR="00471F16" w:rsidRPr="00A4582E">
        <w:t xml:space="preserve">, with the purpose of </w:t>
      </w:r>
      <w:r w:rsidRPr="00A4582E">
        <w:t xml:space="preserve"> withstand disturbances and can quickly be restored if something happens. Local technicians stationed in </w:t>
      </w:r>
      <w:proofErr w:type="spellStart"/>
      <w:r w:rsidRPr="00A4582E">
        <w:t>Umeå</w:t>
      </w:r>
      <w:proofErr w:type="spellEnd"/>
      <w:r w:rsidRPr="00A4582E">
        <w:t xml:space="preserve"> can act quickly if disruptions occur, ensuring rapid restoration and continuity.</w:t>
      </w:r>
      <w:bookmarkStart w:id="13" w:name="_Ref213338480"/>
      <w:r w:rsidR="009610C2" w:rsidRPr="00A4582E">
        <w:rPr>
          <w:rStyle w:val="EndnoteReference"/>
        </w:rPr>
        <w:endnoteReference w:id="63"/>
      </w:r>
      <w:bookmarkEnd w:id="13"/>
    </w:p>
    <w:p w14:paraId="165E1E3E" w14:textId="77777777" w:rsidR="00DF5751" w:rsidRPr="00A4582E" w:rsidRDefault="00DF5751" w:rsidP="00003D0F"/>
    <w:p w14:paraId="4E9E8EA5" w14:textId="31D89549" w:rsidR="00003D0F" w:rsidRPr="00A4582E" w:rsidRDefault="00003D0F" w:rsidP="008B71A6">
      <w:r w:rsidRPr="00A4582E">
        <w:t xml:space="preserve">Beyond technical robustness, </w:t>
      </w:r>
      <w:proofErr w:type="spellStart"/>
      <w:r w:rsidRPr="00A4582E">
        <w:t>Umeå</w:t>
      </w:r>
      <w:proofErr w:type="spellEnd"/>
      <w:r w:rsidRPr="00A4582E">
        <w:t xml:space="preserve"> Energi integrates broadband into </w:t>
      </w:r>
      <w:r w:rsidR="00D62FB3" w:rsidRPr="00A4582E">
        <w:t>smart city initiatives</w:t>
      </w:r>
      <w:r w:rsidRPr="00A4582E">
        <w:t xml:space="preserve">, where </w:t>
      </w:r>
      <w:r w:rsidR="00365DE3" w:rsidRPr="00A4582E">
        <w:t>fiber</w:t>
      </w:r>
      <w:r w:rsidRPr="00A4582E">
        <w:t xml:space="preserve"> serves as the nervous system of the smart city. The network supports smart-city applications in transport, energy efficiency, and data-driven municipal services, linking connectivity with environmental and social sustainability</w:t>
      </w:r>
      <w:r w:rsidR="00D62FB3" w:rsidRPr="00A4582E">
        <w:t>.</w:t>
      </w:r>
      <w:r w:rsidR="00D62FB3" w:rsidRPr="00A4582E">
        <w:fldChar w:fldCharType="begin"/>
      </w:r>
      <w:r w:rsidR="00D62FB3" w:rsidRPr="00A4582E">
        <w:instrText xml:space="preserve"> NOTEREF _Ref213338480 \f </w:instrText>
      </w:r>
      <w:r w:rsidR="00D62FB3" w:rsidRPr="00A4582E">
        <w:fldChar w:fldCharType="separate"/>
      </w:r>
      <w:r w:rsidR="008B71A6" w:rsidRPr="008B71A6">
        <w:rPr>
          <w:rStyle w:val="EndnoteReference"/>
        </w:rPr>
        <w:t>62</w:t>
      </w:r>
      <w:r w:rsidR="00D62FB3" w:rsidRPr="00A4582E">
        <w:fldChar w:fldCharType="end"/>
      </w:r>
    </w:p>
    <w:p w14:paraId="1316A991" w14:textId="77777777" w:rsidR="009C45E1" w:rsidRPr="00A4582E" w:rsidRDefault="009C45E1" w:rsidP="00003D0F"/>
    <w:p w14:paraId="7E0A390E" w14:textId="15BC5B29" w:rsidR="009C45E1" w:rsidRPr="00A4582E" w:rsidRDefault="00003D0F" w:rsidP="009C45E1">
      <w:r w:rsidRPr="00A4582E">
        <w:t xml:space="preserve">Together, these practices show how multi-utility integration, local operational capacity, and smart-city collaboration </w:t>
      </w:r>
      <w:r w:rsidR="00E92541" w:rsidRPr="00A4582E">
        <w:t xml:space="preserve">can </w:t>
      </w:r>
      <w:r w:rsidRPr="00A4582E">
        <w:t>enable a municipal network that is resilient, sustainable, and adaptable to future digital-infrastructure demands.</w:t>
      </w:r>
    </w:p>
    <w:p w14:paraId="36E9F8AE" w14:textId="77777777" w:rsidR="009C45E1" w:rsidRPr="00A4582E" w:rsidRDefault="009C45E1" w:rsidP="009C45E1"/>
    <w:p w14:paraId="227CE644" w14:textId="1CC6998A" w:rsidR="009C45E1" w:rsidRPr="00A4582E" w:rsidRDefault="009C45E1" w:rsidP="009C45E1">
      <w:pPr>
        <w:rPr>
          <w:b/>
        </w:rPr>
      </w:pPr>
      <w:r w:rsidRPr="00A4582E">
        <w:rPr>
          <w:b/>
        </w:rPr>
        <w:t xml:space="preserve">Sweden – </w:t>
      </w:r>
      <w:proofErr w:type="spellStart"/>
      <w:r w:rsidR="00BF5370" w:rsidRPr="00A4582E">
        <w:rPr>
          <w:b/>
        </w:rPr>
        <w:t>Stokab</w:t>
      </w:r>
      <w:proofErr w:type="spellEnd"/>
      <w:r w:rsidR="00BF5370" w:rsidRPr="00A4582E">
        <w:rPr>
          <w:b/>
        </w:rPr>
        <w:t xml:space="preserve"> / City of Stockholm</w:t>
      </w:r>
    </w:p>
    <w:p w14:paraId="780F97BF" w14:textId="38E52837" w:rsidR="009C45E1" w:rsidRPr="00A4582E" w:rsidRDefault="009C45E1" w:rsidP="008B71A6">
      <w:r w:rsidRPr="00A4582E">
        <w:t xml:space="preserve">Stockholm’s municipally owned network operator </w:t>
      </w:r>
      <w:proofErr w:type="spellStart"/>
      <w:r w:rsidRPr="00A4582E">
        <w:t>Stokab</w:t>
      </w:r>
      <w:proofErr w:type="spellEnd"/>
      <w:r w:rsidRPr="00A4582E">
        <w:t xml:space="preserve"> complements this picture by showing how neutral, large-scale </w:t>
      </w:r>
      <w:r w:rsidR="00365DE3" w:rsidRPr="00A4582E">
        <w:t>fiber</w:t>
      </w:r>
      <w:r w:rsidRPr="00A4582E">
        <w:t xml:space="preserve"> infrastructure can underpin both digital resilience and innovation. </w:t>
      </w:r>
      <w:proofErr w:type="spellStart"/>
      <w:r w:rsidRPr="00A4582E">
        <w:t>Stokab’s</w:t>
      </w:r>
      <w:proofErr w:type="spellEnd"/>
      <w:r w:rsidRPr="00A4582E">
        <w:t xml:space="preserve"> redundant, point-to-point architecture</w:t>
      </w:r>
      <w:r w:rsidR="00EC0110" w:rsidRPr="00A4582E">
        <w:t xml:space="preserve"> </w:t>
      </w:r>
      <w:r w:rsidRPr="00A4582E">
        <w:t xml:space="preserve">allows rapid rerouting and restoration in case of failure. The network’s reliability has made it a backbone for critical public services, from healthcare and emergency communications to traffic-management systems. It also supports advanced applications such as quantum-secure data transmission and high-performance computing, demonstrating how open municipal infrastructure can adapt to emerging security and capacity demands. By combining public ownership, open access, and technical redundancy, </w:t>
      </w:r>
      <w:proofErr w:type="spellStart"/>
      <w:r w:rsidRPr="00A4582E">
        <w:t>Stokab</w:t>
      </w:r>
      <w:proofErr w:type="spellEnd"/>
      <w:r w:rsidRPr="00A4582E">
        <w:t xml:space="preserve"> illustrates how long-term, neutral network planning contributes to a resilient and future-proof digital foundation for cities.</w:t>
      </w:r>
      <w:r w:rsidR="004D03FB" w:rsidRPr="00A4582E">
        <w:fldChar w:fldCharType="begin"/>
      </w:r>
      <w:r w:rsidR="004D03FB" w:rsidRPr="00A4582E">
        <w:instrText xml:space="preserve"> NOTEREF _Ref214522373 \f </w:instrText>
      </w:r>
      <w:r w:rsidR="004D03FB" w:rsidRPr="00A4582E">
        <w:fldChar w:fldCharType="separate"/>
      </w:r>
      <w:r w:rsidR="008B71A6" w:rsidRPr="008B71A6">
        <w:rPr>
          <w:rStyle w:val="EndnoteReference"/>
        </w:rPr>
        <w:t>16</w:t>
      </w:r>
      <w:r w:rsidR="004D03FB" w:rsidRPr="00A4582E">
        <w:fldChar w:fldCharType="end"/>
      </w:r>
    </w:p>
    <w:p w14:paraId="3774C845" w14:textId="77777777" w:rsidR="00780173" w:rsidRPr="00A4582E" w:rsidRDefault="00780173" w:rsidP="00780173">
      <w:pPr>
        <w:rPr>
          <w:b/>
        </w:rPr>
      </w:pPr>
    </w:p>
    <w:p w14:paraId="7F1C0AB1" w14:textId="7ABE9F70" w:rsidR="00780173" w:rsidRPr="00D01076" w:rsidRDefault="00780173" w:rsidP="00780173">
      <w:pPr>
        <w:rPr>
          <w:b/>
          <w:lang w:val="de-DE"/>
        </w:rPr>
      </w:pPr>
      <w:r w:rsidRPr="00D01076">
        <w:rPr>
          <w:b/>
          <w:lang w:val="de-DE"/>
        </w:rPr>
        <w:t>Germany - WOBCOM (Stadtwerke Wolfsburg) and Deutsche Glasfaser</w:t>
      </w:r>
    </w:p>
    <w:p w14:paraId="77D5A771" w14:textId="731C3E8F" w:rsidR="00694DD3" w:rsidRPr="00A4582E" w:rsidRDefault="00694DD3" w:rsidP="00694DD3">
      <w:r w:rsidRPr="00A4582E">
        <w:t xml:space="preserve">In Wolfsburg, the municipal operator WOBCOM and Deutsche </w:t>
      </w:r>
      <w:proofErr w:type="spellStart"/>
      <w:r w:rsidRPr="00A4582E">
        <w:t>Glasfaser</w:t>
      </w:r>
      <w:proofErr w:type="spellEnd"/>
      <w:r w:rsidRPr="00A4582E">
        <w:t xml:space="preserve"> have established a reciprocal open-access partnership that enhances network resilience and efficiency. WOBCOM provides wholesale access within city limits, while Deutsche </w:t>
      </w:r>
      <w:proofErr w:type="spellStart"/>
      <w:r w:rsidRPr="00A4582E">
        <w:t>Glasfaser</w:t>
      </w:r>
      <w:proofErr w:type="spellEnd"/>
      <w:r w:rsidRPr="00A4582E">
        <w:t xml:space="preserve"> supplies bitstream capacity </w:t>
      </w:r>
      <w:r w:rsidRPr="00A4582E">
        <w:t>for surrounding rural areas</w:t>
      </w:r>
      <w:r w:rsidR="008F7446" w:rsidRPr="00A4582E">
        <w:t xml:space="preserve">, </w:t>
      </w:r>
      <w:r w:rsidRPr="00A4582E">
        <w:t>each gaining reach without redundant build-out.</w:t>
      </w:r>
      <w:r w:rsidR="001F5C4D" w:rsidRPr="00A4582E">
        <w:rPr>
          <w:rStyle w:val="EndnoteReference"/>
        </w:rPr>
        <w:endnoteReference w:id="64"/>
      </w:r>
    </w:p>
    <w:p w14:paraId="208A917F" w14:textId="77777777" w:rsidR="00694DD3" w:rsidRPr="00A4582E" w:rsidRDefault="00694DD3" w:rsidP="00694DD3"/>
    <w:p w14:paraId="5A858665" w14:textId="12354451" w:rsidR="00694DD3" w:rsidRPr="00A4582E" w:rsidRDefault="00694DD3" w:rsidP="00694DD3">
      <w:r w:rsidRPr="00A4582E">
        <w:t>This reciprocity creates path diversity for backhaul, reduces single-point dependencies, and aligns incident-response procedures between networks. Coordinated change windows, shared restoration targets, and transparent escalation channels ensure consistent service levels for enterprises and public institutions. The model shows how public–private interoperability can strengthen reliability and operational resilience while maintaining open-access principles.</w:t>
      </w:r>
    </w:p>
    <w:p w14:paraId="4E273EC7" w14:textId="77777777" w:rsidR="00780173" w:rsidRPr="00A4582E" w:rsidRDefault="00780173" w:rsidP="00780173"/>
    <w:p w14:paraId="677F0AB6" w14:textId="3D3C2525" w:rsidR="00780173" w:rsidRPr="00A4582E" w:rsidRDefault="00780173" w:rsidP="00780173">
      <w:pPr>
        <w:rPr>
          <w:b/>
        </w:rPr>
      </w:pPr>
      <w:r w:rsidRPr="00A4582E">
        <w:rPr>
          <w:b/>
        </w:rPr>
        <w:t>Germany -</w:t>
      </w:r>
      <w:r w:rsidR="00C6509B" w:rsidRPr="00A4582E">
        <w:rPr>
          <w:b/>
        </w:rPr>
        <w:t xml:space="preserve"> </w:t>
      </w:r>
      <w:r w:rsidRPr="00A4582E">
        <w:rPr>
          <w:b/>
        </w:rPr>
        <w:t>Stadtwerke Münster</w:t>
      </w:r>
    </w:p>
    <w:p w14:paraId="789EB203" w14:textId="0A0C6D9F" w:rsidR="00155B29" w:rsidRPr="00A4582E" w:rsidRDefault="00155B29" w:rsidP="00155B29">
      <w:r w:rsidRPr="00A4582E">
        <w:t xml:space="preserve">Stadtwerke Münster, a municipal utility with decades of energy and transport experience, applies similar governance principles to its </w:t>
      </w:r>
      <w:r w:rsidR="00365DE3" w:rsidRPr="00A4582E">
        <w:t>fiber</w:t>
      </w:r>
      <w:r w:rsidRPr="00A4582E">
        <w:t xml:space="preserve"> operations. The company finances and builds the passive network layer and, where appropriate, contracts active management to </w:t>
      </w:r>
      <w:r w:rsidR="00365DE3" w:rsidRPr="00A4582E">
        <w:t>specialized</w:t>
      </w:r>
      <w:r w:rsidRPr="00A4582E">
        <w:t xml:space="preserve"> partners while retaining strategic oversight. This structure maintains </w:t>
      </w:r>
      <w:r w:rsidR="00AB1D09" w:rsidRPr="00A4582E">
        <w:t>structural</w:t>
      </w:r>
      <w:r w:rsidRPr="00A4582E">
        <w:t xml:space="preserve"> separation, ensures accountability for resilience measures such as site hardening, backup power, and capacity planning, and facilitates transparent coordination during maintenance or emergencies.</w:t>
      </w:r>
      <w:bookmarkStart w:id="14" w:name="_Ref214624085"/>
      <w:r w:rsidR="00A95202" w:rsidRPr="00A4582E">
        <w:rPr>
          <w:rStyle w:val="EndnoteReference"/>
        </w:rPr>
        <w:endnoteReference w:id="65"/>
      </w:r>
      <w:bookmarkEnd w:id="14"/>
    </w:p>
    <w:p w14:paraId="17983473" w14:textId="77777777" w:rsidR="00155B29" w:rsidRPr="00A4582E" w:rsidRDefault="00155B29" w:rsidP="00155B29"/>
    <w:p w14:paraId="3B6377E8" w14:textId="2D396C12" w:rsidR="00155B29" w:rsidRPr="00A4582E" w:rsidRDefault="00155B29" w:rsidP="008B71A6">
      <w:r w:rsidRPr="00A4582E">
        <w:t>Documented priority-restoration procedures for hospitals, emergency services, and other critical users are integrated with municipal emergency planning. The model demonstrates how municipal utilities can combine patient capital with operational discipline to provide high-reliability connectivity that meets the same continuity standards as other critical local infrastructure.</w:t>
      </w:r>
      <w:r w:rsidR="00C82AD5" w:rsidRPr="00A4582E">
        <w:fldChar w:fldCharType="begin"/>
      </w:r>
      <w:r w:rsidR="00C82AD5" w:rsidRPr="00A4582E">
        <w:instrText xml:space="preserve"> NOTEREF _Ref214624085 \f </w:instrText>
      </w:r>
      <w:r w:rsidR="00C82AD5" w:rsidRPr="00A4582E">
        <w:fldChar w:fldCharType="separate"/>
      </w:r>
      <w:r w:rsidR="008B71A6" w:rsidRPr="008B71A6">
        <w:rPr>
          <w:rStyle w:val="EndnoteReference"/>
        </w:rPr>
        <w:t>64</w:t>
      </w:r>
      <w:r w:rsidR="00C82AD5" w:rsidRPr="00A4582E">
        <w:fldChar w:fldCharType="end"/>
      </w:r>
    </w:p>
    <w:p w14:paraId="08FAA2A7" w14:textId="77777777" w:rsidR="00780173" w:rsidRPr="00A4582E" w:rsidRDefault="00780173" w:rsidP="00780173"/>
    <w:p w14:paraId="383819FA" w14:textId="21334B59" w:rsidR="00CF15A7" w:rsidRPr="00A4582E" w:rsidRDefault="00CF15A7" w:rsidP="00C9670D">
      <w:pPr>
        <w:rPr>
          <w:b/>
          <w:bCs/>
        </w:rPr>
      </w:pPr>
      <w:r w:rsidRPr="00A4582E">
        <w:rPr>
          <w:b/>
          <w:bCs/>
        </w:rPr>
        <w:t xml:space="preserve">Austria – </w:t>
      </w:r>
      <w:r w:rsidR="00C9670D" w:rsidRPr="00A4582E">
        <w:rPr>
          <w:b/>
          <w:bCs/>
        </w:rPr>
        <w:t xml:space="preserve">Regional Resilience through Open-Access Governance </w:t>
      </w:r>
      <w:r w:rsidRPr="00A4582E">
        <w:rPr>
          <w:b/>
          <w:bCs/>
        </w:rPr>
        <w:t>(</w:t>
      </w:r>
      <w:proofErr w:type="spellStart"/>
      <w:r w:rsidRPr="00A4582E">
        <w:rPr>
          <w:b/>
          <w:bCs/>
        </w:rPr>
        <w:t>nöGIG</w:t>
      </w:r>
      <w:proofErr w:type="spellEnd"/>
      <w:r w:rsidRPr="00A4582E">
        <w:rPr>
          <w:b/>
          <w:bCs/>
        </w:rPr>
        <w:t xml:space="preserve"> and Vienna)</w:t>
      </w:r>
    </w:p>
    <w:p w14:paraId="65F84D5C" w14:textId="6FAC333E" w:rsidR="00CF15A7" w:rsidRPr="00A4582E" w:rsidRDefault="00213C78" w:rsidP="00213C78">
      <w:r w:rsidRPr="00A4582E">
        <w:t xml:space="preserve">Austria’s regional networks illustrate how the </w:t>
      </w:r>
      <w:r w:rsidR="00B47A70" w:rsidRPr="00A4582E">
        <w:t>Open</w:t>
      </w:r>
      <w:r w:rsidRPr="00A4582E">
        <w:t xml:space="preserve">-access </w:t>
      </w:r>
      <w:r w:rsidR="00B47A70" w:rsidRPr="00A4582E">
        <w:t>wholesale</w:t>
      </w:r>
      <w:r w:rsidRPr="00A4582E">
        <w:t xml:space="preserve"> described earlier translate into day-to-day operational resilience and coordinated maintenance.</w:t>
      </w:r>
      <w:r w:rsidR="00EB124C" w:rsidRPr="00A4582E">
        <w:t xml:space="preserve"> The p</w:t>
      </w:r>
      <w:r w:rsidR="00CF15A7" w:rsidRPr="00A4582E">
        <w:t xml:space="preserve">ublicly owned company </w:t>
      </w:r>
      <w:proofErr w:type="spellStart"/>
      <w:r w:rsidR="00CF15A7" w:rsidRPr="00A4582E">
        <w:t>nöGIG</w:t>
      </w:r>
      <w:proofErr w:type="spellEnd"/>
      <w:r w:rsidR="00CF15A7" w:rsidRPr="00A4582E">
        <w:t xml:space="preserve"> in Lower Austria manages a three-layer wholesale architecture that separates passive infrastructure, active network management, and retail service provision. This structure ensures neutrality, scalability, and clear accountability across all levels.</w:t>
      </w:r>
    </w:p>
    <w:p w14:paraId="01BCA209" w14:textId="77777777" w:rsidR="00CF15A7" w:rsidRPr="00A4582E" w:rsidRDefault="00CF15A7" w:rsidP="00CF15A7"/>
    <w:p w14:paraId="3CA0DE0E" w14:textId="46D073A2" w:rsidR="00CF15A7" w:rsidRPr="00A4582E" w:rsidRDefault="00CF15A7" w:rsidP="009C674F">
      <w:proofErr w:type="spellStart"/>
      <w:r w:rsidRPr="00A4582E">
        <w:t>nöGIG</w:t>
      </w:r>
      <w:proofErr w:type="spellEnd"/>
      <w:r w:rsidRPr="00A4582E">
        <w:t xml:space="preserve"> coordinates </w:t>
      </w:r>
      <w:r w:rsidR="00365DE3" w:rsidRPr="00A4582E">
        <w:t>fiber</w:t>
      </w:r>
      <w:r w:rsidRPr="00A4582E">
        <w:t xml:space="preserve"> deployment across multiple municipalities, pooling civil-works planning and procurement to reduce costs and avoid duplication. The network connects </w:t>
      </w:r>
      <w:r w:rsidRPr="00A4582E">
        <w:lastRenderedPageBreak/>
        <w:t>smaller communities that would otherwise remain below commercial thresholds for private rollout. Wholesale access is offered on equal terms to all qualified ISPs, and revenues are reinvested into expansion and maintenance. The company operates under RTR-approved reference offers that specify transparent pricing, service-level commitments, and performance indicators.</w:t>
      </w:r>
    </w:p>
    <w:p w14:paraId="02738E11" w14:textId="77777777" w:rsidR="00CF15A7" w:rsidRPr="00A4582E" w:rsidRDefault="00CF15A7" w:rsidP="00CF15A7"/>
    <w:p w14:paraId="261DD787" w14:textId="3D850AE3" w:rsidR="00CF15A7" w:rsidRPr="00A4582E" w:rsidRDefault="00CF15A7" w:rsidP="00CF15A7">
      <w:r w:rsidRPr="00A4582E">
        <w:t xml:space="preserve">Financing relies on public-private partnerships combining state grants from the BBA 2030 </w:t>
      </w:r>
      <w:r w:rsidR="00365DE3" w:rsidRPr="00A4582E">
        <w:t>program</w:t>
      </w:r>
      <w:r w:rsidRPr="00A4582E">
        <w:t xml:space="preserve"> with long-term capital from institutional investors such as Allianz Capital Partners and other infrastructure funds. This mix provides patient capital while maintaining public control of core infrastructure. The model has inspired replication in other Austrian regions and is </w:t>
      </w:r>
      <w:r w:rsidR="00365DE3" w:rsidRPr="00A4582E">
        <w:t>recognized</w:t>
      </w:r>
      <w:r w:rsidRPr="00A4582E">
        <w:t xml:space="preserve"> by RTR as a benchmark for transparent wholesale operation.</w:t>
      </w:r>
    </w:p>
    <w:p w14:paraId="61E2161B" w14:textId="77777777" w:rsidR="00CF15A7" w:rsidRPr="00A4582E" w:rsidRDefault="00CF15A7" w:rsidP="00CF15A7"/>
    <w:p w14:paraId="39770644" w14:textId="75C7DE8A" w:rsidR="00CF15A7" w:rsidRPr="00A4582E" w:rsidRDefault="00CF15A7" w:rsidP="00CF15A7">
      <w:r w:rsidRPr="00A4582E">
        <w:t xml:space="preserve">In Vienna, open-access principles are integrated into the city’s broader </w:t>
      </w:r>
      <w:r w:rsidR="00365DE3" w:rsidRPr="00A4582E">
        <w:t>digitalization</w:t>
      </w:r>
      <w:r w:rsidRPr="00A4582E">
        <w:t xml:space="preserve"> and smart-city agenda. Municipal coordination ensures that </w:t>
      </w:r>
      <w:r w:rsidR="00365DE3" w:rsidRPr="00A4582E">
        <w:t>fiber</w:t>
      </w:r>
      <w:r w:rsidRPr="00A4582E">
        <w:t xml:space="preserve"> deployment supports public services, energy-efficiency projects, and data-platform initiatives. Vienna illustrates how a metropolitan authority can align broadband policy with sustainability and resilience goals, complementing the regional wholesale model represented by </w:t>
      </w:r>
      <w:proofErr w:type="spellStart"/>
      <w:r w:rsidRPr="00A4582E">
        <w:t>nöGIG</w:t>
      </w:r>
      <w:proofErr w:type="spellEnd"/>
      <w:r w:rsidRPr="00A4582E">
        <w:t>.</w:t>
      </w:r>
    </w:p>
    <w:p w14:paraId="26382D3B" w14:textId="77777777" w:rsidR="00CF15A7" w:rsidRPr="00A4582E" w:rsidRDefault="00CF15A7" w:rsidP="00CF15A7"/>
    <w:p w14:paraId="44745573" w14:textId="59DF8813" w:rsidR="001C7D3A" w:rsidRPr="00A4582E" w:rsidRDefault="00CF15A7" w:rsidP="009B1C7C">
      <w:r w:rsidRPr="00A4582E">
        <w:t>Together, these cases show how Austria links regulatory design with operational practice. The combination of neutral wholesale governance, regional coordination, and blended financing demonstrates that open access can deliver both efficient infrastructure deployment and long-term resilience without relying on direct municipal ownership.</w:t>
      </w:r>
    </w:p>
    <w:p w14:paraId="1A9D8D91" w14:textId="77777777" w:rsidR="00B90660" w:rsidRPr="00A4582E" w:rsidRDefault="00B90660" w:rsidP="003A6472"/>
    <w:p w14:paraId="714C1E17" w14:textId="42015071" w:rsidR="00B7785A" w:rsidRPr="00A4582E" w:rsidRDefault="00886B27" w:rsidP="00886B27">
      <w:pPr>
        <w:pStyle w:val="Heading2"/>
      </w:pPr>
      <w:r w:rsidRPr="00A4582E">
        <w:t>Chapter 5. Summary</w:t>
      </w:r>
    </w:p>
    <w:p w14:paraId="30BE9641" w14:textId="6CE11F8C" w:rsidR="00930139" w:rsidRPr="00A4582E" w:rsidRDefault="00930139" w:rsidP="00930139">
      <w:r w:rsidRPr="00A4582E">
        <w:t xml:space="preserve">Across Europe, municipal and regional broadband initiatives have played a central role in closing coverage gaps and fostering inclusive digital development. Sweden’s long-established municipal-network ecosystem demonstrates how coordinated local ownership, aligned with national broadband strategies, can deliver near-universal </w:t>
      </w:r>
      <w:r w:rsidR="00DD5F15" w:rsidRPr="00A4582E">
        <w:t>fiber</w:t>
      </w:r>
      <w:r w:rsidRPr="00A4582E">
        <w:t xml:space="preserve"> availability across both urban and rural areas. Similar approaches in Germany and Austria, through the engagement of </w:t>
      </w:r>
      <w:r w:rsidR="0088126E" w:rsidRPr="00A4582E">
        <w:t xml:space="preserve">local </w:t>
      </w:r>
      <w:r w:rsidR="00DD5F15" w:rsidRPr="00A4582E">
        <w:t>fiber</w:t>
      </w:r>
      <w:r w:rsidR="0088126E" w:rsidRPr="00A4582E">
        <w:t xml:space="preserve"> actors</w:t>
      </w:r>
      <w:r w:rsidRPr="00A4582E">
        <w:t xml:space="preserve">, municipal utilities and regional </w:t>
      </w:r>
      <w:r w:rsidR="00DD5F15" w:rsidRPr="00A4582E">
        <w:t>programs</w:t>
      </w:r>
      <w:r w:rsidRPr="00A4582E">
        <w:t xml:space="preserve">, have accelerated deployment in communities where commercial incentives are limited or where coordinated infrastructure planning creates clear </w:t>
      </w:r>
      <w:r w:rsidRPr="00A4582E">
        <w:t>advantages. These experiences show that locally anchored actors can complement national operators by expanding coverage, reducing civil-works costs and ensuring long-term stewardship of essential infrastructure.</w:t>
      </w:r>
    </w:p>
    <w:p w14:paraId="1A9711B5" w14:textId="77777777" w:rsidR="00930139" w:rsidRPr="00A4582E" w:rsidRDefault="00930139" w:rsidP="00930139"/>
    <w:p w14:paraId="308F1B48" w14:textId="55C3392B" w:rsidR="00930139" w:rsidRPr="00A4582E" w:rsidRDefault="00930139" w:rsidP="00930139">
      <w:r w:rsidRPr="00A4582E">
        <w:t xml:space="preserve">The open-access wholesale model, widely adopted within these municipal networks, provides an institutional framework that supports competition, efficient investment and sustainable market structures. This structure </w:t>
      </w:r>
      <w:r w:rsidR="00350B23" w:rsidRPr="00A4582E">
        <w:t xml:space="preserve">can </w:t>
      </w:r>
      <w:r w:rsidRPr="00A4582E">
        <w:t xml:space="preserve">increase network </w:t>
      </w:r>
      <w:r w:rsidR="00A22AF1" w:rsidRPr="00A4582E">
        <w:t>utilization</w:t>
      </w:r>
      <w:r w:rsidRPr="00A4582E">
        <w:t xml:space="preserve">, strengthen consumer choice and reduce unnecessary duplication of physical networks. Sweden’s extensive experience with wholesale-based </w:t>
      </w:r>
      <w:r w:rsidR="00A22AF1" w:rsidRPr="00A4582E">
        <w:t>fiber</w:t>
      </w:r>
      <w:r w:rsidRPr="00A4582E">
        <w:t xml:space="preserve"> networks, including </w:t>
      </w:r>
      <w:proofErr w:type="spellStart"/>
      <w:r w:rsidRPr="00A4582E">
        <w:t>Stokab</w:t>
      </w:r>
      <w:proofErr w:type="spellEnd"/>
      <w:r w:rsidRPr="00A4582E">
        <w:t xml:space="preserve"> in Stockholm, demonstrates that neutrality and transparent access conditions can support both vigorous competition and stable long-term investment. Austria’s national requirement for publicly funded networks to operate on an open-access basis, and Germany’s growing practice of co-investment and reciprocal access agreements among local utilities and national operators, further illustrate how open-access principles can scale across diverse market environments.</w:t>
      </w:r>
    </w:p>
    <w:p w14:paraId="7D165A6A" w14:textId="77777777" w:rsidR="00930139" w:rsidRPr="00A4582E" w:rsidRDefault="00930139" w:rsidP="00930139"/>
    <w:p w14:paraId="5D979CBA" w14:textId="26243200" w:rsidR="00930139" w:rsidRPr="00A4582E" w:rsidRDefault="00930139" w:rsidP="00930139">
      <w:r w:rsidRPr="00A4582E">
        <w:t xml:space="preserve">Europe’s broadband agenda is now shifting from a focus on deployment and coverage toward resilience, long-term reliability and digital sovereignty. </w:t>
      </w:r>
      <w:r w:rsidR="00A22AF1" w:rsidRPr="00A4582E">
        <w:t>Fiber</w:t>
      </w:r>
      <w:r w:rsidRPr="00A4582E">
        <w:t xml:space="preserve"> networks increasingly underpin essential societal functions, including health and homecare, education, energy management, public administration and emergency services. As a result, they are </w:t>
      </w:r>
      <w:r w:rsidR="00A22AF1" w:rsidRPr="00A4582E">
        <w:t>recognized</w:t>
      </w:r>
      <w:r w:rsidRPr="00A4582E">
        <w:t xml:space="preserve"> as core components of Europe’s critical infrastructure. Locally owned and open-access networks </w:t>
      </w:r>
      <w:r w:rsidR="00035090" w:rsidRPr="00A4582E">
        <w:t>can</w:t>
      </w:r>
      <w:r w:rsidRPr="00A4582E">
        <w:t xml:space="preserve"> contribute to this resilience by coordinating broadband deployment with other municipal utilities, integrating redundancy into network architecture and ensuring compliance with national and European standards for security and continuity.</w:t>
      </w:r>
    </w:p>
    <w:p w14:paraId="1C646E1A" w14:textId="77777777" w:rsidR="00930139" w:rsidRPr="00A4582E" w:rsidRDefault="00930139" w:rsidP="00930139"/>
    <w:p w14:paraId="236F5DC3" w14:textId="53E0AFD0" w:rsidR="00886B27" w:rsidRPr="00A4582E" w:rsidRDefault="00930139" w:rsidP="00930139">
      <w:r w:rsidRPr="00A4582E">
        <w:t xml:space="preserve">Taken together, the evidence from Sweden, Germany and Austria demonstrates that municipal and regionally anchored broadband networks are not merely gap-fillers in the market. They are strategic complements to national initiatives, capable of enhancing competition, promoting efficient infrastructure development and supporting Europe’s long-term digital resilience. As the demands on digital infrastructure continue to expand, these governance models offer valuable insights into how local ownership, open-access principles and coordinated planning can contribute to </w:t>
      </w:r>
      <w:r w:rsidRPr="00A4582E">
        <w:lastRenderedPageBreak/>
        <w:t>a robust, inclusive and future-proof digital ecosystem across Europe.</w:t>
      </w:r>
    </w:p>
    <w:p w14:paraId="72906846" w14:textId="37BA7795" w:rsidR="00461F1C" w:rsidRPr="00A4582E" w:rsidRDefault="00461F1C" w:rsidP="00461F1C"/>
    <w:p w14:paraId="222BDBCB" w14:textId="402E66D7" w:rsidR="001827B7" w:rsidRPr="00A4582E" w:rsidRDefault="00D75071" w:rsidP="003164D3">
      <w:pPr>
        <w:pStyle w:val="Heading2"/>
      </w:pPr>
      <w:r w:rsidRPr="00A4582E">
        <w:t xml:space="preserve">Chapter </w:t>
      </w:r>
      <w:r w:rsidR="001C7D3A" w:rsidRPr="00A4582E">
        <w:t>6</w:t>
      </w:r>
      <w:r w:rsidRPr="00A4582E">
        <w:t xml:space="preserve">. </w:t>
      </w:r>
      <w:r w:rsidR="00C9171F" w:rsidRPr="00A4582E">
        <w:t xml:space="preserve">Recommendations &amp; Policy </w:t>
      </w:r>
      <w:r w:rsidR="000A6C27" w:rsidRPr="00A4582E">
        <w:t>implications</w:t>
      </w:r>
    </w:p>
    <w:p w14:paraId="6C05EABF" w14:textId="33607E19" w:rsidR="00594788" w:rsidRPr="00A4582E" w:rsidRDefault="005A19C5" w:rsidP="00075C7F">
      <w:pPr>
        <w:pStyle w:val="Heading3"/>
      </w:pPr>
      <w:r w:rsidRPr="00A4582E">
        <w:t xml:space="preserve">6.1 </w:t>
      </w:r>
      <w:r w:rsidR="00075C7F" w:rsidRPr="00A4582E">
        <w:t>“Building for the future</w:t>
      </w:r>
      <w:r w:rsidR="009B1C7C">
        <w:t xml:space="preserve"> – </w:t>
      </w:r>
      <w:r w:rsidR="00075C7F" w:rsidRPr="00A4582E">
        <w:t>not just for tomorrow.”</w:t>
      </w:r>
    </w:p>
    <w:p w14:paraId="3B67A4F6" w14:textId="4F2C27F6" w:rsidR="003164D3" w:rsidRPr="00A4582E" w:rsidRDefault="001827B7" w:rsidP="003164D3">
      <w:r w:rsidRPr="00A4582E">
        <w:t xml:space="preserve">This report shows that locally and regionally anchored </w:t>
      </w:r>
      <w:r w:rsidR="009A11F9" w:rsidRPr="00A4582E">
        <w:t>fiber</w:t>
      </w:r>
      <w:r w:rsidRPr="00A4582E">
        <w:t xml:space="preserve"> networks, operating on open-access and wholesale principles, have made a measurable contribution to broadband deployment, competition and digital resilience in several European markets. The experiences from Sweden, Germany and Austria demonstrate that diversified ownership structures, strong local governance and open infrastructure models can deliver high-capacity connectivity efficiently and at scale, benefitting consumers across Europe.</w:t>
      </w:r>
    </w:p>
    <w:p w14:paraId="62EA149A" w14:textId="77777777" w:rsidR="003164D3" w:rsidRPr="00A4582E" w:rsidRDefault="003164D3" w:rsidP="003164D3"/>
    <w:p w14:paraId="7D09EBC3" w14:textId="37F6C0E8" w:rsidR="001827B7" w:rsidRPr="00A4582E" w:rsidRDefault="001827B7" w:rsidP="003164D3">
      <w:r w:rsidRPr="00A4582E">
        <w:t>These findings are especially pertinent in light of the  recently proposed Digital Networks Act (DNA)</w:t>
      </w:r>
      <w:r w:rsidR="00000E24" w:rsidRPr="00A4582E">
        <w:t>.</w:t>
      </w:r>
    </w:p>
    <w:p w14:paraId="670CD6ED" w14:textId="77777777" w:rsidR="00000E24" w:rsidRPr="00A4582E" w:rsidRDefault="00000E24" w:rsidP="003164D3"/>
    <w:p w14:paraId="00A69DE4" w14:textId="77777777" w:rsidR="001827B7" w:rsidRPr="00A4582E" w:rsidRDefault="001827B7" w:rsidP="001827B7">
      <w:pPr>
        <w:rPr>
          <w:b/>
          <w:bCs/>
        </w:rPr>
      </w:pPr>
      <w:r w:rsidRPr="00A4582E">
        <w:rPr>
          <w:b/>
          <w:bCs/>
        </w:rPr>
        <w:t>Preserve diversity of ownership and market structures</w:t>
      </w:r>
    </w:p>
    <w:p w14:paraId="1303E5A9" w14:textId="4AD4DE52" w:rsidR="001827B7" w:rsidRPr="00A4582E" w:rsidRDefault="001827B7" w:rsidP="001827B7">
      <w:r w:rsidRPr="00A4582E">
        <w:t>EU digital infrastructure policy should promote diverse ownership structures, including municipal and regional networks. Experience from Germany, Sweden and Austria shows that such diversity strengthens competition and extends coverage where commercial incentives are weak. Locally anchored networks tend to reinvest in their communities and contribute to redundancy and operational continuity.</w:t>
      </w:r>
    </w:p>
    <w:p w14:paraId="10957155" w14:textId="77777777" w:rsidR="00000E24" w:rsidRPr="00A4582E" w:rsidRDefault="00000E24" w:rsidP="001827B7"/>
    <w:p w14:paraId="178E2FDB" w14:textId="2372DC85" w:rsidR="001827B7" w:rsidRPr="00A4582E" w:rsidRDefault="001827B7" w:rsidP="001827B7">
      <w:r w:rsidRPr="00A4582E">
        <w:t xml:space="preserve">Policy frameworks that primarily </w:t>
      </w:r>
      <w:r w:rsidR="002A6748" w:rsidRPr="00A4582E">
        <w:t>favor</w:t>
      </w:r>
      <w:r w:rsidRPr="00A4582E">
        <w:t xml:space="preserve"> large, vertically integrated operators risk weakening these dynamics. A broad ecosystem of actors – public and private, large and small – is better suited to sustain long-term competitiveness and digital resilience than a concentrated market structure.</w:t>
      </w:r>
    </w:p>
    <w:p w14:paraId="06DD869E" w14:textId="77777777" w:rsidR="00000E24" w:rsidRPr="00A4582E" w:rsidRDefault="00000E24" w:rsidP="001827B7"/>
    <w:p w14:paraId="44CEB106" w14:textId="07F9B286" w:rsidR="001827B7" w:rsidRPr="00A4582E" w:rsidRDefault="001827B7" w:rsidP="001827B7">
      <w:r w:rsidRPr="00A4582E">
        <w:t xml:space="preserve">EU policy should therefore avoid measures that, directly or indirectly, </w:t>
      </w:r>
      <w:r w:rsidR="002A6748" w:rsidRPr="00A4582E">
        <w:t>favor</w:t>
      </w:r>
      <w:r w:rsidRPr="00A4582E">
        <w:t xml:space="preserve"> market concentration over sustainable competition and long-term public value.</w:t>
      </w:r>
    </w:p>
    <w:p w14:paraId="48E5E903" w14:textId="77777777" w:rsidR="00000E24" w:rsidRPr="00A4582E" w:rsidRDefault="00000E24" w:rsidP="001827B7"/>
    <w:p w14:paraId="486A07D0" w14:textId="77777777" w:rsidR="001827B7" w:rsidRPr="00A4582E" w:rsidRDefault="001827B7" w:rsidP="001827B7">
      <w:pPr>
        <w:rPr>
          <w:b/>
          <w:bCs/>
        </w:rPr>
      </w:pPr>
      <w:r w:rsidRPr="00A4582E">
        <w:rPr>
          <w:b/>
          <w:bCs/>
        </w:rPr>
        <w:t>Locally and Regionally Anchored Actors Strengthen Europe’s Telecom Ecosystem</w:t>
      </w:r>
    </w:p>
    <w:p w14:paraId="26BA8371" w14:textId="14F665DE" w:rsidR="001827B7" w:rsidRPr="00A4582E" w:rsidRDefault="001827B7" w:rsidP="001827B7">
      <w:r w:rsidRPr="00A4582E">
        <w:t xml:space="preserve">A telecom landscape </w:t>
      </w:r>
      <w:r w:rsidR="002A6748" w:rsidRPr="00A4582E">
        <w:t>characterized</w:t>
      </w:r>
      <w:r w:rsidRPr="00A4582E">
        <w:t xml:space="preserve"> by structural diversity enhances – rather than dilutes – competitiveness. A broad ecosystem of actors expands the sector’s investment base, accelerates deployment and reinforces long-term resilience.</w:t>
      </w:r>
    </w:p>
    <w:p w14:paraId="5AFFE741" w14:textId="77777777" w:rsidR="00000E24" w:rsidRPr="00A4582E" w:rsidRDefault="00000E24" w:rsidP="001827B7"/>
    <w:p w14:paraId="5C514776" w14:textId="057E57EE" w:rsidR="001827B7" w:rsidRPr="00A4582E" w:rsidRDefault="001827B7" w:rsidP="001827B7">
      <w:r w:rsidRPr="00A4582E">
        <w:t>A significant share of locally and regionally anchored telecom operators are publicly owned or part of municipal and regional energy groups. These entities combine commercial telecom activities with mandates rooted in essential public services. Their governance structures are typically shaped by long-term infrastructure planning, regional development objectives and public accountability.</w:t>
      </w:r>
    </w:p>
    <w:p w14:paraId="05BE931E" w14:textId="77777777" w:rsidR="00000E24" w:rsidRPr="00A4582E" w:rsidRDefault="00000E24" w:rsidP="001827B7"/>
    <w:p w14:paraId="43C68CF7" w14:textId="77777777" w:rsidR="00000E24" w:rsidRPr="00A4582E" w:rsidRDefault="001827B7" w:rsidP="00000E24">
      <w:r w:rsidRPr="00A4582E">
        <w:t>This ownership model brings distinctive capabilities to the telecom sector:</w:t>
      </w:r>
    </w:p>
    <w:p w14:paraId="630BFDC5" w14:textId="77777777" w:rsidR="001525C0" w:rsidRPr="00A4582E" w:rsidRDefault="001827B7" w:rsidP="001525C0">
      <w:pPr>
        <w:numPr>
          <w:ilvl w:val="0"/>
          <w:numId w:val="17"/>
        </w:numPr>
        <w:rPr>
          <w:bCs/>
        </w:rPr>
      </w:pPr>
      <w:r w:rsidRPr="00A4582E">
        <w:rPr>
          <w:bCs/>
        </w:rPr>
        <w:t>Long-term investment horizons aligned with infrastructure life cycles</w:t>
      </w:r>
    </w:p>
    <w:p w14:paraId="29755EE3" w14:textId="77777777" w:rsidR="001525C0" w:rsidRPr="00A4582E" w:rsidRDefault="001827B7" w:rsidP="001525C0">
      <w:pPr>
        <w:numPr>
          <w:ilvl w:val="0"/>
          <w:numId w:val="17"/>
        </w:numPr>
        <w:rPr>
          <w:bCs/>
        </w:rPr>
      </w:pPr>
      <w:r w:rsidRPr="00A4582E">
        <w:rPr>
          <w:bCs/>
        </w:rPr>
        <w:t>Proven expertise in managing critical infrastructure under security and crisis conditions</w:t>
      </w:r>
    </w:p>
    <w:p w14:paraId="7DE437E7" w14:textId="77777777" w:rsidR="001525C0" w:rsidRPr="00A4582E" w:rsidRDefault="001827B7" w:rsidP="001525C0">
      <w:pPr>
        <w:numPr>
          <w:ilvl w:val="0"/>
          <w:numId w:val="17"/>
        </w:numPr>
        <w:rPr>
          <w:bCs/>
        </w:rPr>
      </w:pPr>
      <w:r w:rsidRPr="00A4582E">
        <w:rPr>
          <w:bCs/>
        </w:rPr>
        <w:t>Integrated sustainability strategies embedded across energy and network operations</w:t>
      </w:r>
    </w:p>
    <w:p w14:paraId="75E1B752" w14:textId="2A6849CE" w:rsidR="001827B7" w:rsidRPr="00A4582E" w:rsidRDefault="001827B7" w:rsidP="001525C0">
      <w:pPr>
        <w:numPr>
          <w:ilvl w:val="0"/>
          <w:numId w:val="17"/>
        </w:numPr>
        <w:rPr>
          <w:bCs/>
        </w:rPr>
      </w:pPr>
      <w:r w:rsidRPr="00A4582E">
        <w:rPr>
          <w:bCs/>
        </w:rPr>
        <w:t>Strong local presence that facilitates rapid deployment and stakeholder coordination</w:t>
      </w:r>
    </w:p>
    <w:p w14:paraId="6976D933" w14:textId="77777777" w:rsidR="001525C0" w:rsidRPr="00A4582E" w:rsidRDefault="001525C0" w:rsidP="001827B7"/>
    <w:p w14:paraId="6F42C6F0" w14:textId="3741917A" w:rsidR="001827B7" w:rsidRPr="00A4582E" w:rsidRDefault="001827B7" w:rsidP="001827B7">
      <w:r w:rsidRPr="00A4582E">
        <w:t>Beyond their direct market contribution, these actors introduce complementary institutional and operational perspectives into the telecom ecosystem. Their experience in essential-service governance, infrastructure redundancy, security preparedness and sustainability integration can inform broader sectoral practices.</w:t>
      </w:r>
    </w:p>
    <w:p w14:paraId="7080E669" w14:textId="77777777" w:rsidR="001525C0" w:rsidRPr="00A4582E" w:rsidRDefault="001525C0" w:rsidP="001827B7"/>
    <w:p w14:paraId="6FD6D2A8" w14:textId="29F43639" w:rsidR="001827B7" w:rsidRPr="00A4582E" w:rsidRDefault="001827B7" w:rsidP="001827B7">
      <w:r w:rsidRPr="00A4582E">
        <w:t xml:space="preserve">As telecom networks are increasingly </w:t>
      </w:r>
      <w:r w:rsidR="002A6748" w:rsidRPr="00A4582E">
        <w:t>recognized</w:t>
      </w:r>
      <w:r w:rsidRPr="00A4582E">
        <w:t xml:space="preserve"> as critical infrastructure, cross-sector learning between energy and telecom becomes particularly relevant. Approaches to resilience planning, risk management and long-term asset stewardship developed within energy systems may serve as valuable reference points for the wider telecom sector.</w:t>
      </w:r>
    </w:p>
    <w:p w14:paraId="517DA9C4" w14:textId="77777777" w:rsidR="001525C0" w:rsidRPr="00A4582E" w:rsidRDefault="001525C0" w:rsidP="001827B7"/>
    <w:p w14:paraId="1F5C5F69" w14:textId="1C144A93" w:rsidR="001827B7" w:rsidRPr="00A4582E" w:rsidRDefault="001827B7" w:rsidP="001827B7">
      <w:r w:rsidRPr="00A4582E">
        <w:t>Importantly, these locally and regionally anchored operators function fully within competitive market frameworks. Their presence strengthens competitive dynamics by diversifying capital sources, broadening deployment models and lowering structural barriers to entry.</w:t>
      </w:r>
    </w:p>
    <w:p w14:paraId="1674FBBB" w14:textId="77777777" w:rsidR="001525C0" w:rsidRPr="00A4582E" w:rsidRDefault="001525C0" w:rsidP="001827B7"/>
    <w:p w14:paraId="35C4F3AC" w14:textId="5CE69F2A" w:rsidR="001827B7" w:rsidRPr="00A4582E" w:rsidRDefault="001827B7" w:rsidP="001827B7">
      <w:r w:rsidRPr="00A4582E">
        <w:t>Structural diversity in this sense is not fragmentation; it is a competitive and strategic asset that enhances Europe’s collective capacity to meet connectivity targets while strengthening infrastructure security and sustainability.</w:t>
      </w:r>
    </w:p>
    <w:p w14:paraId="7E5D78AD" w14:textId="77777777" w:rsidR="001525C0" w:rsidRPr="00A4582E" w:rsidRDefault="001525C0" w:rsidP="001827B7"/>
    <w:p w14:paraId="5FC4CD9F" w14:textId="77777777" w:rsidR="001827B7" w:rsidRPr="00A4582E" w:rsidRDefault="001827B7" w:rsidP="001827B7">
      <w:pPr>
        <w:rPr>
          <w:b/>
          <w:bCs/>
        </w:rPr>
      </w:pPr>
      <w:r w:rsidRPr="00A4582E">
        <w:rPr>
          <w:b/>
          <w:bCs/>
        </w:rPr>
        <w:t>Avoid consolidation-driven policy approaches</w:t>
      </w:r>
    </w:p>
    <w:p w14:paraId="1C11392F" w14:textId="32CAF3E0" w:rsidR="001827B7" w:rsidRPr="00A4582E" w:rsidRDefault="001827B7" w:rsidP="001827B7">
      <w:r w:rsidRPr="00A4582E">
        <w:lastRenderedPageBreak/>
        <w:t xml:space="preserve">Although consolidation is often suggested as a response to Europe’s investment needs, there is limited evidence that it delivers clear benefits for consumers, innovation or resilience in </w:t>
      </w:r>
      <w:r w:rsidR="00AC7271" w:rsidRPr="00A4582E">
        <w:t>fiber</w:t>
      </w:r>
      <w:r w:rsidRPr="00A4582E">
        <w:t xml:space="preserve"> markets. The most advanced European </w:t>
      </w:r>
      <w:r w:rsidR="00C632EE" w:rsidRPr="00A4582E">
        <w:t>fiber</w:t>
      </w:r>
      <w:r w:rsidRPr="00A4582E">
        <w:t xml:space="preserve"> markets are </w:t>
      </w:r>
      <w:r w:rsidR="00C632EE" w:rsidRPr="00A4582E">
        <w:t>characterized</w:t>
      </w:r>
      <w:r w:rsidRPr="00A4582E">
        <w:t xml:space="preserve"> by multiple infrastructure owners and functioning wholesale competition.</w:t>
      </w:r>
    </w:p>
    <w:p w14:paraId="024D5F06" w14:textId="77777777" w:rsidR="001525C0" w:rsidRPr="00A4582E" w:rsidRDefault="001525C0" w:rsidP="001827B7"/>
    <w:p w14:paraId="5BCB938B" w14:textId="602115D8" w:rsidR="001827B7" w:rsidRPr="00A4582E" w:rsidRDefault="001827B7" w:rsidP="001827B7">
      <w:r w:rsidRPr="00A4582E">
        <w:t xml:space="preserve">Strengthening competition and improving regulatory frameworks align more closely with Europe’s positive market experiences than promoting structural concentration. Even where policy debates have moved away from explicit consolidation, safeguards remain necessary to ensure that the future policy action do not unintentionally </w:t>
      </w:r>
      <w:r w:rsidR="00C632EE" w:rsidRPr="00A4582E">
        <w:t>favor</w:t>
      </w:r>
      <w:r w:rsidRPr="00A4582E">
        <w:t xml:space="preserve"> market concentration over competitive dynamics. </w:t>
      </w:r>
    </w:p>
    <w:p w14:paraId="45022FEF" w14:textId="77777777" w:rsidR="001525C0" w:rsidRPr="00A4582E" w:rsidRDefault="001525C0" w:rsidP="001827B7"/>
    <w:p w14:paraId="2BE822AD" w14:textId="67A61C0F" w:rsidR="001827B7" w:rsidRPr="00A4582E" w:rsidRDefault="001827B7" w:rsidP="001827B7">
      <w:r w:rsidRPr="00A4582E">
        <w:t xml:space="preserve">EU policy should therefore </w:t>
      </w:r>
      <w:r w:rsidR="00C632EE" w:rsidRPr="00A4582E">
        <w:t>prioritize</w:t>
      </w:r>
      <w:r w:rsidRPr="00A4582E">
        <w:t xml:space="preserve"> competition-enhancing measures and include safeguards preventing regulatory or financial incentives from </w:t>
      </w:r>
      <w:r w:rsidR="00C632EE" w:rsidRPr="00A4582E">
        <w:t>favoring</w:t>
      </w:r>
      <w:r w:rsidRPr="00A4582E">
        <w:t xml:space="preserve"> consolidation.</w:t>
      </w:r>
    </w:p>
    <w:p w14:paraId="137F5D27" w14:textId="77777777" w:rsidR="001525C0" w:rsidRPr="00A4582E" w:rsidRDefault="001525C0" w:rsidP="001827B7"/>
    <w:p w14:paraId="0386FEE6" w14:textId="7FF5CB26" w:rsidR="001827B7" w:rsidRPr="00A4582E" w:rsidRDefault="001827B7" w:rsidP="001827B7">
      <w:r w:rsidRPr="00A4582E">
        <w:rPr>
          <w:b/>
          <w:bCs/>
        </w:rPr>
        <w:t>Strengthen open-access and wholesale-based competition</w:t>
      </w:r>
    </w:p>
    <w:p w14:paraId="6CED6BEF" w14:textId="77777777" w:rsidR="001827B7" w:rsidRPr="00A4582E" w:rsidRDefault="001827B7" w:rsidP="001827B7">
      <w:r w:rsidRPr="00A4582E">
        <w:t>A well-functioning wholesale market is essential to ensure that infrastructure investment translates into service-level competition. EU policy should guarantee transparent and non-discriminatory wholesale access to both fixed and mobile networks. This requires enforceable access obligations, effective tools to prevent anti-competitive practices such as strategic overbuild, and a regulatory environment that enables new and smaller actors to enter the market.</w:t>
      </w:r>
    </w:p>
    <w:p w14:paraId="131C9609" w14:textId="77777777" w:rsidR="001525C0" w:rsidRPr="00A4582E" w:rsidRDefault="001525C0" w:rsidP="001827B7"/>
    <w:p w14:paraId="6B529A5F" w14:textId="3979DCE8" w:rsidR="001827B7" w:rsidRPr="00A4582E" w:rsidRDefault="001827B7" w:rsidP="001827B7">
      <w:r w:rsidRPr="00A4582E">
        <w:t xml:space="preserve">Preserving the independence and authority of national regulatory bodies is crucial to ensure that they can intervene where competition is restricted or market dynamics are distorted. Inclusive wholesale frameworks are particularly important for locally anchored networks and smaller service providers. </w:t>
      </w:r>
    </w:p>
    <w:p w14:paraId="0F12A6D5" w14:textId="77777777" w:rsidR="001525C0" w:rsidRPr="00A4582E" w:rsidRDefault="001525C0" w:rsidP="001827B7"/>
    <w:p w14:paraId="5AF913BD" w14:textId="4AB4A45F" w:rsidR="001827B7" w:rsidRPr="00A4582E" w:rsidRDefault="001827B7" w:rsidP="001827B7">
      <w:r w:rsidRPr="00A4582E">
        <w:t>EU policy should therefore support open-access wholesale frameworks and empower national regulators to ensure effective and fair access to infrastructure across the Union.</w:t>
      </w:r>
    </w:p>
    <w:p w14:paraId="0F794EAE" w14:textId="77777777" w:rsidR="001525C0" w:rsidRPr="00A4582E" w:rsidRDefault="001525C0" w:rsidP="001827B7"/>
    <w:p w14:paraId="207722C9" w14:textId="2887D3C9" w:rsidR="001827B7" w:rsidRPr="00A4582E" w:rsidRDefault="001827B7" w:rsidP="001827B7">
      <w:pPr>
        <w:rPr>
          <w:b/>
          <w:bCs/>
        </w:rPr>
      </w:pPr>
      <w:r w:rsidRPr="00A4582E">
        <w:rPr>
          <w:b/>
          <w:bCs/>
        </w:rPr>
        <w:t xml:space="preserve">Ensure non-discriminatory migration from copper to </w:t>
      </w:r>
      <w:r w:rsidR="00B752C4" w:rsidRPr="00A4582E">
        <w:rPr>
          <w:b/>
          <w:bCs/>
        </w:rPr>
        <w:t>fiber</w:t>
      </w:r>
    </w:p>
    <w:p w14:paraId="157E4CCB" w14:textId="5E7BE9D2" w:rsidR="001827B7" w:rsidRPr="00A4582E" w:rsidRDefault="001827B7" w:rsidP="001827B7">
      <w:r w:rsidRPr="00A4582E">
        <w:t xml:space="preserve">The transition from copper to </w:t>
      </w:r>
      <w:r w:rsidR="00B752C4" w:rsidRPr="00A4582E">
        <w:t>fiber</w:t>
      </w:r>
      <w:r w:rsidRPr="00A4582E">
        <w:t xml:space="preserve"> networks must not reinforce existing market dominance. Migration processes should be objective, transparent and subject to effective </w:t>
      </w:r>
      <w:r w:rsidRPr="00A4582E">
        <w:t xml:space="preserve">regulatory oversight. Technical interoperability and open access should form the baseline of migration frameworks. Exclusive arrangements that limit choice for households or restrict access for alternative operators require careful assessment. Technological transition should enhance competition in next-generation networks rather than consolidate it. </w:t>
      </w:r>
    </w:p>
    <w:p w14:paraId="2A675C56" w14:textId="77777777" w:rsidR="001525C0" w:rsidRPr="00A4582E" w:rsidRDefault="001525C0" w:rsidP="001827B7"/>
    <w:p w14:paraId="2954BE12" w14:textId="499669D8" w:rsidR="001827B7" w:rsidRPr="00A4582E" w:rsidRDefault="001827B7" w:rsidP="001827B7">
      <w:r w:rsidRPr="00A4582E">
        <w:t>EU policy should therefore establish clear safeguards and empower national regulators to ensure fair and non-discriminatory migration processes across Member States.</w:t>
      </w:r>
    </w:p>
    <w:p w14:paraId="003DC254" w14:textId="77777777" w:rsidR="001525C0" w:rsidRPr="00A4582E" w:rsidRDefault="001525C0" w:rsidP="001827B7"/>
    <w:p w14:paraId="330C8677" w14:textId="5A4E130D" w:rsidR="001827B7" w:rsidRPr="00A4582E" w:rsidRDefault="001827B7" w:rsidP="001827B7">
      <w:pPr>
        <w:rPr>
          <w:b/>
          <w:bCs/>
        </w:rPr>
      </w:pPr>
      <w:r w:rsidRPr="00A4582E">
        <w:rPr>
          <w:b/>
          <w:bCs/>
        </w:rPr>
        <w:t>Promote interoperable and transparent wholesale products</w:t>
      </w:r>
    </w:p>
    <w:p w14:paraId="028F597A" w14:textId="109567B5" w:rsidR="001827B7" w:rsidRPr="00A4582E" w:rsidRDefault="001827B7" w:rsidP="001827B7">
      <w:r w:rsidRPr="00A4582E">
        <w:t xml:space="preserve">Clearly defined and interoperable wholesale products are essential for service providers and new entrants to operate efficiently across markets. EU policy should encourage open and transparent wholesale platforms while respecting national systems and market structures. </w:t>
      </w:r>
      <w:r w:rsidR="00C632EE" w:rsidRPr="00A4582E">
        <w:t>Standardization</w:t>
      </w:r>
      <w:r w:rsidRPr="00A4582E">
        <w:t xml:space="preserve"> should facilitate access and cooperation without imposing rigid </w:t>
      </w:r>
      <w:r w:rsidR="00C632EE" w:rsidRPr="00A4582E">
        <w:t>harmonization</w:t>
      </w:r>
      <w:r w:rsidRPr="00A4582E">
        <w:t xml:space="preserve"> that undermines well-functioning national models.</w:t>
      </w:r>
    </w:p>
    <w:p w14:paraId="3081BF87" w14:textId="77777777" w:rsidR="001525C0" w:rsidRPr="00A4582E" w:rsidRDefault="001525C0" w:rsidP="001827B7"/>
    <w:p w14:paraId="5068536B" w14:textId="77777777" w:rsidR="001827B7" w:rsidRPr="00A4582E" w:rsidRDefault="001827B7" w:rsidP="001827B7">
      <w:r w:rsidRPr="00A4582E">
        <w:t>EU policy should therefore support interoperable interfaces and access procedures that lower entry barriers while allowing Member States to maintain effective national frameworks.</w:t>
      </w:r>
    </w:p>
    <w:p w14:paraId="358C9D96" w14:textId="77777777" w:rsidR="001525C0" w:rsidRPr="00A4582E" w:rsidRDefault="001525C0" w:rsidP="001827B7"/>
    <w:p w14:paraId="4D550F42" w14:textId="77777777" w:rsidR="001827B7" w:rsidRPr="00A4582E" w:rsidRDefault="001827B7" w:rsidP="001827B7">
      <w:pPr>
        <w:rPr>
          <w:b/>
          <w:bCs/>
        </w:rPr>
      </w:pPr>
      <w:r w:rsidRPr="00A4582E">
        <w:rPr>
          <w:b/>
          <w:bCs/>
        </w:rPr>
        <w:t>Maintain stable and predictable public funding frameworks</w:t>
      </w:r>
    </w:p>
    <w:p w14:paraId="53372A39" w14:textId="0F8294BA" w:rsidR="001827B7" w:rsidRPr="00A4582E" w:rsidRDefault="001827B7" w:rsidP="001827B7">
      <w:r w:rsidRPr="00A4582E">
        <w:t xml:space="preserve">Public funding remains necessary in rural and high-cost areas where market-driven investment alone is insufficient. Support schemes should be predictable, long-term and accessible to smaller and publicly owned operators on equal terms. Funding should complement market-based investment rather than crowd it out and, where appropriate, be linked to open-access obligations to </w:t>
      </w:r>
      <w:r w:rsidR="00C632EE" w:rsidRPr="00A4582E">
        <w:t>maximize</w:t>
      </w:r>
      <w:r w:rsidRPr="00A4582E">
        <w:t xml:space="preserve"> public value and competitive impact. </w:t>
      </w:r>
    </w:p>
    <w:p w14:paraId="1CA4D8AE" w14:textId="77777777" w:rsidR="001525C0" w:rsidRPr="00A4582E" w:rsidRDefault="001525C0" w:rsidP="001827B7"/>
    <w:p w14:paraId="065B9EFB" w14:textId="40419C46" w:rsidR="001827B7" w:rsidRPr="00A4582E" w:rsidRDefault="001827B7" w:rsidP="001827B7">
      <w:r w:rsidRPr="00A4582E">
        <w:t>EU policy should therefore ensure stable</w:t>
      </w:r>
      <w:r w:rsidR="00AC3E46">
        <w:t xml:space="preserve"> funding</w:t>
      </w:r>
      <w:r w:rsidRPr="00A4582E">
        <w:t xml:space="preserve"> frameworks and equal accessibility for all types of infrastructure operators.</w:t>
      </w:r>
    </w:p>
    <w:p w14:paraId="13896BF9" w14:textId="77777777" w:rsidR="001525C0" w:rsidRPr="00A4582E" w:rsidRDefault="001525C0" w:rsidP="001827B7"/>
    <w:p w14:paraId="03EEC799" w14:textId="77777777" w:rsidR="001827B7" w:rsidRPr="00A4582E" w:rsidRDefault="001827B7" w:rsidP="001827B7">
      <w:pPr>
        <w:rPr>
          <w:b/>
          <w:bCs/>
        </w:rPr>
      </w:pPr>
      <w:r w:rsidRPr="00A4582E">
        <w:rPr>
          <w:b/>
          <w:bCs/>
        </w:rPr>
        <w:t>Link resilience and security to local and national anchoring</w:t>
      </w:r>
    </w:p>
    <w:p w14:paraId="7A6BE5D6" w14:textId="77777777" w:rsidR="001827B7" w:rsidRPr="00A4582E" w:rsidRDefault="001827B7" w:rsidP="001827B7">
      <w:r w:rsidRPr="00A4582E">
        <w:t xml:space="preserve">Digital infrastructure underpins essential public services, crisis preparedness and societal resilience. Ownership </w:t>
      </w:r>
      <w:r w:rsidRPr="00A4582E">
        <w:lastRenderedPageBreak/>
        <w:t xml:space="preserve">structures therefore matter. Locally and regionally anchored operators, often closely integrated with municipal governance and emergency planning, contribute to accountability, operational continuity and reduced systemic risk. Strengthening local responsibility and diversified ownership can provide a more robust foundation for resilience than structural concentration. </w:t>
      </w:r>
    </w:p>
    <w:p w14:paraId="24A15D9D" w14:textId="77777777" w:rsidR="001525C0" w:rsidRPr="00A4582E" w:rsidRDefault="001525C0" w:rsidP="001827B7"/>
    <w:p w14:paraId="185D37DC" w14:textId="112D6D13" w:rsidR="001827B7" w:rsidRPr="00A4582E" w:rsidRDefault="001827B7" w:rsidP="001827B7">
      <w:r w:rsidRPr="00A4582E">
        <w:t xml:space="preserve">EU policy should therefore </w:t>
      </w:r>
      <w:r w:rsidR="00B752C4" w:rsidRPr="00A4582E">
        <w:t>recognize</w:t>
      </w:r>
      <w:r w:rsidRPr="00A4582E">
        <w:t xml:space="preserve"> resilience and operational continuity as core regulatory objectives and avoid approaches that increase systemic dependency on a limited number of operators.</w:t>
      </w:r>
    </w:p>
    <w:p w14:paraId="216C21A3" w14:textId="77777777" w:rsidR="00594788" w:rsidRPr="00A4582E" w:rsidRDefault="00594788" w:rsidP="001827B7"/>
    <w:p w14:paraId="4B34A2CD" w14:textId="7E362229" w:rsidR="001827B7" w:rsidRPr="00A4582E" w:rsidRDefault="003C3A75" w:rsidP="003C3A75">
      <w:pPr>
        <w:pStyle w:val="Heading3"/>
      </w:pPr>
      <w:r w:rsidRPr="00A4582E">
        <w:t xml:space="preserve">6.2 </w:t>
      </w:r>
      <w:r w:rsidR="001827B7" w:rsidRPr="00A4582E">
        <w:t>Overall Strategic Direction – A Structural Choice for the European Commission</w:t>
      </w:r>
    </w:p>
    <w:p w14:paraId="49CDB68B" w14:textId="77777777" w:rsidR="00F81911" w:rsidRPr="00A4582E" w:rsidRDefault="001827B7" w:rsidP="00F81911">
      <w:r w:rsidRPr="00A4582E">
        <w:t>The evidence presented in this report points to a clear policy direction for European digital infrastructure policy. The strategic implications are unambiguous:</w:t>
      </w:r>
    </w:p>
    <w:p w14:paraId="1DD1B2B2" w14:textId="77777777" w:rsidR="00F81911" w:rsidRPr="00A4582E" w:rsidRDefault="001827B7" w:rsidP="00732C43">
      <w:pPr>
        <w:numPr>
          <w:ilvl w:val="0"/>
          <w:numId w:val="17"/>
        </w:numPr>
        <w:rPr>
          <w:bCs/>
        </w:rPr>
      </w:pPr>
      <w:r w:rsidRPr="00A4582E">
        <w:rPr>
          <w:bCs/>
        </w:rPr>
        <w:t>Competition over consolidation</w:t>
      </w:r>
    </w:p>
    <w:p w14:paraId="18D03CD4" w14:textId="77777777" w:rsidR="00F81911" w:rsidRPr="00A4582E" w:rsidRDefault="001827B7" w:rsidP="00732C43">
      <w:pPr>
        <w:numPr>
          <w:ilvl w:val="0"/>
          <w:numId w:val="17"/>
        </w:numPr>
        <w:rPr>
          <w:bCs/>
        </w:rPr>
      </w:pPr>
      <w:r w:rsidRPr="00A4582E">
        <w:rPr>
          <w:bCs/>
        </w:rPr>
        <w:t>Open access networks over vertical integration</w:t>
      </w:r>
    </w:p>
    <w:p w14:paraId="3AC8FD23" w14:textId="77777777" w:rsidR="00F81911" w:rsidRPr="00A4582E" w:rsidRDefault="001827B7" w:rsidP="00732C43">
      <w:pPr>
        <w:numPr>
          <w:ilvl w:val="0"/>
          <w:numId w:val="17"/>
        </w:numPr>
        <w:rPr>
          <w:bCs/>
        </w:rPr>
      </w:pPr>
      <w:r w:rsidRPr="00A4582E">
        <w:rPr>
          <w:bCs/>
        </w:rPr>
        <w:t>Local and national anchoring over structural concentration</w:t>
      </w:r>
    </w:p>
    <w:p w14:paraId="13745DEE" w14:textId="6D719E0B" w:rsidR="001827B7" w:rsidRPr="00A4582E" w:rsidRDefault="001827B7" w:rsidP="00732C43">
      <w:pPr>
        <w:numPr>
          <w:ilvl w:val="0"/>
          <w:numId w:val="17"/>
        </w:numPr>
        <w:rPr>
          <w:bCs/>
        </w:rPr>
      </w:pPr>
      <w:r w:rsidRPr="00A4582E">
        <w:rPr>
          <w:bCs/>
        </w:rPr>
        <w:t>Resilience and security as integral objectives of digital policy</w:t>
      </w:r>
    </w:p>
    <w:p w14:paraId="74A39634" w14:textId="77777777" w:rsidR="00732C43" w:rsidRPr="00A4582E" w:rsidRDefault="00732C43" w:rsidP="001827B7"/>
    <w:p w14:paraId="724420CA" w14:textId="070BD8EE" w:rsidR="001827B7" w:rsidRPr="00A4582E" w:rsidRDefault="001827B7" w:rsidP="001827B7">
      <w:r w:rsidRPr="00A4582E">
        <w:t xml:space="preserve">Europe’s digital future should not be shaped by consolidation-driven assumptions. A policy trajectory </w:t>
      </w:r>
      <w:r w:rsidR="00B752C4" w:rsidRPr="00A4582E">
        <w:t>prioritizing</w:t>
      </w:r>
      <w:r w:rsidRPr="00A4582E">
        <w:t xml:space="preserve"> structural concentration risks weakening competition, reducing innovation capacity and undermining long-term resilience.</w:t>
      </w:r>
    </w:p>
    <w:p w14:paraId="4848B992" w14:textId="77777777" w:rsidR="00732C43" w:rsidRPr="00A4582E" w:rsidRDefault="00732C43" w:rsidP="001827B7"/>
    <w:p w14:paraId="3AAAE177" w14:textId="77777777" w:rsidR="001827B7" w:rsidRPr="00A4582E" w:rsidRDefault="001827B7" w:rsidP="001827B7">
      <w:r w:rsidRPr="00A4582E">
        <w:t>The European Commission now faces a structural choice. By safeguarding ownership diversity and preserving varied market structures, the Commission can strengthen Europe’s telecom ecosystem in a sustainable and future-oriented manner. A telecom market that promotes not only large pan-European operators, but also locally and regionally anchored actors, enhances innovation, operational resilience and secure infrastructure deployment.</w:t>
      </w:r>
    </w:p>
    <w:p w14:paraId="189A6AF4" w14:textId="77777777" w:rsidR="00732C43" w:rsidRPr="00A4582E" w:rsidRDefault="00732C43" w:rsidP="001827B7"/>
    <w:p w14:paraId="48986447" w14:textId="754A3F65" w:rsidR="001827B7" w:rsidRPr="00A4582E" w:rsidRDefault="001827B7" w:rsidP="001827B7">
      <w:r w:rsidRPr="00A4582E">
        <w:t xml:space="preserve">Open-access </w:t>
      </w:r>
      <w:r w:rsidR="00B752C4" w:rsidRPr="00A4582E">
        <w:t>fiber</w:t>
      </w:r>
      <w:r w:rsidRPr="00A4582E">
        <w:t xml:space="preserve"> networks and non-discriminatory wholesale frameworks remain essential to ensure a fair and efficient migration from copper to </w:t>
      </w:r>
      <w:r w:rsidR="00B752C4" w:rsidRPr="00A4582E">
        <w:t>fiber</w:t>
      </w:r>
      <w:r w:rsidRPr="00A4582E">
        <w:t xml:space="preserve">. They enable sustainable competition, </w:t>
      </w:r>
      <w:r w:rsidR="00B752C4" w:rsidRPr="00A4582E">
        <w:t>maximize</w:t>
      </w:r>
      <w:r w:rsidRPr="00A4582E">
        <w:t xml:space="preserve"> the value of both public and private investment, and prevent foreclosure risks during technological transition.</w:t>
      </w:r>
    </w:p>
    <w:p w14:paraId="3659FE5E" w14:textId="77777777" w:rsidR="00732C43" w:rsidRPr="00A4582E" w:rsidRDefault="00732C43" w:rsidP="001827B7"/>
    <w:p w14:paraId="194BCDAA" w14:textId="08EBAC3C" w:rsidR="001827B7" w:rsidRPr="00A4582E" w:rsidRDefault="001827B7" w:rsidP="001827B7">
      <w:r w:rsidRPr="00A4582E">
        <w:t>The infrastructure being deployed today will form the backbone of Europe’s digital society for decades to come. It will shape economic competitiveness, societal resilience and technological sovereignty</w:t>
      </w:r>
      <w:r w:rsidR="00B752C4">
        <w:t xml:space="preserve">, </w:t>
      </w:r>
      <w:r w:rsidRPr="00A4582E">
        <w:t>not only for the present generation, but for the next.</w:t>
      </w:r>
    </w:p>
    <w:p w14:paraId="14086C8C" w14:textId="77777777" w:rsidR="00732C43" w:rsidRPr="00A4582E" w:rsidRDefault="00732C43" w:rsidP="001827B7"/>
    <w:p w14:paraId="0C1DAC62" w14:textId="77777777" w:rsidR="001827B7" w:rsidRPr="00A4582E" w:rsidRDefault="001827B7" w:rsidP="001827B7">
      <w:r w:rsidRPr="00A4582E">
        <w:t>For this reason, EU regulation must extend beyond short-term rollout objectives. It must actively foster a diverse and competitive market landscape in which municipal networks, regional operators, national providers and cross-border players each contribute their unique competencies.</w:t>
      </w:r>
    </w:p>
    <w:p w14:paraId="709DC85D" w14:textId="77777777" w:rsidR="00A34732" w:rsidRPr="00A4582E" w:rsidRDefault="00A34732" w:rsidP="001827B7"/>
    <w:p w14:paraId="696AD2DD" w14:textId="77777777" w:rsidR="001827B7" w:rsidRPr="00A4582E" w:rsidRDefault="001827B7" w:rsidP="001827B7">
      <w:r w:rsidRPr="00A4582E">
        <w:t>The decision at hand is therefore not merely technical. It is structural and generational.</w:t>
      </w:r>
    </w:p>
    <w:p w14:paraId="12368B26" w14:textId="77777777" w:rsidR="00A34732" w:rsidRPr="00A4582E" w:rsidRDefault="00A34732" w:rsidP="001827B7"/>
    <w:p w14:paraId="4F3E6098" w14:textId="1292C962" w:rsidR="001E4164" w:rsidRPr="00A4582E" w:rsidRDefault="001827B7" w:rsidP="00372A5B">
      <w:pPr>
        <w:sectPr w:rsidR="001E4164" w:rsidRPr="00A4582E" w:rsidSect="00576437">
          <w:endnotePr>
            <w:numFmt w:val="decimal"/>
          </w:endnotePr>
          <w:type w:val="continuous"/>
          <w:pgSz w:w="11909" w:h="16834" w:code="9"/>
          <w:pgMar w:top="1701" w:right="851" w:bottom="851" w:left="851" w:header="851" w:footer="284" w:gutter="284"/>
          <w:cols w:num="2" w:space="720"/>
        </w:sectPr>
      </w:pPr>
      <w:r w:rsidRPr="00A4582E">
        <w:t>A competitive, open and resilient telecom ecosystem is not only compatible with Europe’s digital ambitions</w:t>
      </w:r>
      <w:r w:rsidR="00B752C4">
        <w:t xml:space="preserve">, </w:t>
      </w:r>
      <w:r w:rsidRPr="00A4582E">
        <w:t>it is a prerequisite for achieving them.</w:t>
      </w:r>
    </w:p>
    <w:p w14:paraId="5836FC02" w14:textId="77777777" w:rsidR="009802BD" w:rsidRPr="00A4582E" w:rsidRDefault="009802BD" w:rsidP="00387948">
      <w:pPr>
        <w:spacing w:line="240" w:lineRule="auto"/>
        <w:sectPr w:rsidR="009802BD" w:rsidRPr="00A4582E" w:rsidSect="009802BD">
          <w:endnotePr>
            <w:numFmt w:val="decimal"/>
          </w:endnotePr>
          <w:type w:val="continuous"/>
          <w:pgSz w:w="11909" w:h="16834" w:code="9"/>
          <w:pgMar w:top="1701" w:right="851" w:bottom="851" w:left="851" w:header="851" w:footer="284" w:gutter="284"/>
          <w:cols w:num="2" w:space="720"/>
        </w:sectPr>
      </w:pPr>
    </w:p>
    <w:p w14:paraId="49528BBA" w14:textId="77777777" w:rsidR="00582ED4" w:rsidRPr="00A4582E" w:rsidRDefault="00582ED4" w:rsidP="00387948">
      <w:pPr>
        <w:spacing w:line="240" w:lineRule="auto"/>
      </w:pPr>
    </w:p>
    <w:p w14:paraId="3CE10C1F" w14:textId="023ABAC2" w:rsidR="008B7FF8" w:rsidRPr="00A4582E" w:rsidRDefault="008B7FF8" w:rsidP="008B7FF8">
      <w:pPr>
        <w:spacing w:line="240" w:lineRule="auto"/>
      </w:pPr>
      <w:r w:rsidRPr="00A4582E">
        <w:br w:type="page"/>
      </w:r>
    </w:p>
    <w:sectPr w:rsidR="008B7FF8" w:rsidRPr="00A4582E" w:rsidSect="00576437">
      <w:endnotePr>
        <w:numFmt w:val="decimal"/>
      </w:endnotePr>
      <w:type w:val="continuous"/>
      <w:pgSz w:w="11909" w:h="16834" w:code="9"/>
      <w:pgMar w:top="1701" w:right="851" w:bottom="851" w:left="851" w:header="851" w:footer="284"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EA0DB" w14:textId="77777777" w:rsidR="00D47450" w:rsidRDefault="00D47450">
      <w:r>
        <w:separator/>
      </w:r>
    </w:p>
  </w:endnote>
  <w:endnote w:type="continuationSeparator" w:id="0">
    <w:p w14:paraId="1D8D7314" w14:textId="77777777" w:rsidR="00D47450" w:rsidRDefault="00D47450">
      <w:r>
        <w:continuationSeparator/>
      </w:r>
    </w:p>
  </w:endnote>
  <w:endnote w:type="continuationNotice" w:id="1">
    <w:p w14:paraId="337E7CDA" w14:textId="77777777" w:rsidR="00D47450" w:rsidRDefault="00D47450">
      <w:pPr>
        <w:spacing w:line="240" w:lineRule="auto"/>
      </w:pPr>
    </w:p>
  </w:endnote>
  <w:endnote w:id="2">
    <w:p w14:paraId="2C480398" w14:textId="7702817A" w:rsidR="00A71CA2" w:rsidRPr="00DB5D3F" w:rsidRDefault="00A71CA2">
      <w:pPr>
        <w:pStyle w:val="EndnoteText"/>
        <w:rPr>
          <w:sz w:val="16"/>
          <w:szCs w:val="16"/>
        </w:rPr>
      </w:pPr>
      <w:r>
        <w:rPr>
          <w:rStyle w:val="EndnoteReference"/>
        </w:rPr>
        <w:endnoteRef/>
      </w:r>
      <w:r>
        <w:t xml:space="preserve"> </w:t>
      </w:r>
      <w:r w:rsidRPr="00DB5D3F">
        <w:rPr>
          <w:sz w:val="16"/>
          <w:szCs w:val="16"/>
        </w:rPr>
        <w:t>https://www.oecd.org/en/data/insights/statistical-releases/2025/07/digital-connectivity-expands-across-the-oecd-but-rural-areas-are-falling-further-behind.html</w:t>
      </w:r>
    </w:p>
  </w:endnote>
  <w:endnote w:id="3">
    <w:p w14:paraId="7108381E" w14:textId="1360B5AF" w:rsidR="00367AA1" w:rsidRDefault="00367AA1">
      <w:pPr>
        <w:pStyle w:val="EndnoteText"/>
      </w:pPr>
      <w:r w:rsidRPr="00DB5D3F">
        <w:rPr>
          <w:rStyle w:val="EndnoteReference"/>
          <w:sz w:val="16"/>
          <w:szCs w:val="16"/>
        </w:rPr>
        <w:endnoteRef/>
      </w:r>
      <w:r w:rsidRPr="00DB5D3F">
        <w:rPr>
          <w:sz w:val="16"/>
          <w:szCs w:val="16"/>
        </w:rPr>
        <w:t xml:space="preserve"> https://www.oecd.org/content/dam/oecd/en/publications/reports/2025/05/closing-broadband-connectivity-divides-for-all_17ee89fa/d5ea99b2-en.pdf</w:t>
      </w:r>
    </w:p>
  </w:endnote>
  <w:endnote w:id="4">
    <w:p w14:paraId="5CEEB365" w14:textId="76C73995" w:rsidR="00B67691" w:rsidRPr="00D42321" w:rsidRDefault="00B67691" w:rsidP="00B67691">
      <w:pPr>
        <w:pStyle w:val="EndnoteText"/>
        <w:rPr>
          <w:rFonts w:cstheme="minorHAnsi"/>
          <w:color w:val="auto"/>
          <w:sz w:val="16"/>
          <w:szCs w:val="16"/>
        </w:rPr>
      </w:pPr>
      <w:r w:rsidRPr="00D42321">
        <w:rPr>
          <w:rStyle w:val="EndnoteReference"/>
          <w:rFonts w:cstheme="minorHAnsi"/>
          <w:color w:val="auto"/>
          <w:sz w:val="16"/>
          <w:szCs w:val="16"/>
        </w:rPr>
        <w:endnoteRef/>
      </w:r>
      <w:r w:rsidRPr="00D42321">
        <w:rPr>
          <w:rFonts w:cstheme="minorHAnsi"/>
          <w:color w:val="auto"/>
          <w:sz w:val="16"/>
          <w:szCs w:val="16"/>
        </w:rPr>
        <w:t xml:space="preserve"> </w:t>
      </w:r>
      <w:hyperlink r:id="rId1" w:history="1">
        <w:r w:rsidRPr="00D42321">
          <w:rPr>
            <w:rStyle w:val="Hyperlink"/>
            <w:rFonts w:cstheme="minorHAnsi"/>
            <w:color w:val="auto"/>
            <w:sz w:val="16"/>
            <w:szCs w:val="16"/>
          </w:rPr>
          <w:t>https://www.ssnf.org/globalassets/nyheter/uppkopplat---en-tidning-om-sveriges-stadsnat-2023-03-09.pdf</w:t>
        </w:r>
      </w:hyperlink>
    </w:p>
  </w:endnote>
  <w:endnote w:id="5">
    <w:p w14:paraId="3DEC6239" w14:textId="1BC9AE98" w:rsidR="00FD5B84" w:rsidRPr="00D42321" w:rsidRDefault="00FD5B84">
      <w:pPr>
        <w:pStyle w:val="EndnoteText"/>
        <w:rPr>
          <w:rFonts w:cstheme="minorHAnsi"/>
          <w:color w:val="auto"/>
          <w:sz w:val="16"/>
          <w:szCs w:val="16"/>
        </w:rPr>
      </w:pPr>
      <w:r w:rsidRPr="00D42321">
        <w:rPr>
          <w:rStyle w:val="EndnoteReference"/>
          <w:rFonts w:cstheme="minorHAnsi"/>
          <w:color w:val="auto"/>
          <w:sz w:val="16"/>
          <w:szCs w:val="16"/>
        </w:rPr>
        <w:endnoteRef/>
      </w:r>
      <w:r w:rsidRPr="00D42321">
        <w:rPr>
          <w:rFonts w:cstheme="minorHAnsi"/>
          <w:color w:val="auto"/>
          <w:sz w:val="16"/>
          <w:szCs w:val="16"/>
        </w:rPr>
        <w:t xml:space="preserve"> https://bmds.bund.de/fileadmin/BMDS/Dokumente/Bericht-Glasfaserausbau-V10-SCREEN-BF-Maps-highres.pdf</w:t>
      </w:r>
    </w:p>
  </w:endnote>
  <w:endnote w:id="6">
    <w:p w14:paraId="0D3B4560" w14:textId="2D1B67E4" w:rsidR="0054794F" w:rsidRPr="00D42321" w:rsidRDefault="0054794F" w:rsidP="00EB56F7">
      <w:pPr>
        <w:pStyle w:val="EndnoteText"/>
        <w:rPr>
          <w:rFonts w:cstheme="minorHAnsi"/>
          <w:color w:val="auto"/>
          <w:sz w:val="16"/>
          <w:szCs w:val="16"/>
        </w:rPr>
      </w:pPr>
      <w:r w:rsidRPr="00D42321">
        <w:rPr>
          <w:rStyle w:val="EndnoteReference"/>
          <w:rFonts w:cstheme="minorHAnsi"/>
          <w:color w:val="auto"/>
          <w:sz w:val="16"/>
          <w:szCs w:val="16"/>
        </w:rPr>
        <w:endnoteRef/>
      </w:r>
      <w:r w:rsidRPr="00D42321">
        <w:rPr>
          <w:rFonts w:cstheme="minorHAnsi"/>
          <w:color w:val="auto"/>
          <w:sz w:val="16"/>
          <w:szCs w:val="16"/>
        </w:rPr>
        <w:t xml:space="preserve"> </w:t>
      </w:r>
      <w:hyperlink r:id="rId2" w:history="1">
        <w:r w:rsidR="00420826" w:rsidRPr="00D42321">
          <w:rPr>
            <w:rStyle w:val="Hyperlink"/>
            <w:rFonts w:cstheme="minorHAnsi"/>
            <w:color w:val="auto"/>
            <w:sz w:val="16"/>
            <w:szCs w:val="16"/>
          </w:rPr>
          <w:t>https://www.itu.int/en/ITU-D/Statistics/Pages/facts/default.aspx</w:t>
        </w:r>
      </w:hyperlink>
    </w:p>
  </w:endnote>
  <w:endnote w:id="7">
    <w:p w14:paraId="32ACEEF1" w14:textId="719A8E26" w:rsidR="008463E7" w:rsidRPr="00D42321" w:rsidRDefault="008463E7" w:rsidP="00D43DD4">
      <w:pPr>
        <w:pStyle w:val="EndnoteText"/>
        <w:rPr>
          <w:rFonts w:cstheme="minorHAnsi"/>
          <w:color w:val="auto"/>
          <w:sz w:val="16"/>
          <w:szCs w:val="16"/>
        </w:rPr>
      </w:pPr>
      <w:r w:rsidRPr="00D42321">
        <w:rPr>
          <w:rStyle w:val="EndnoteReference"/>
          <w:rFonts w:cstheme="minorHAnsi"/>
          <w:color w:val="auto"/>
          <w:sz w:val="16"/>
          <w:szCs w:val="16"/>
        </w:rPr>
        <w:endnoteRef/>
      </w:r>
      <w:r w:rsidRPr="00D42321">
        <w:rPr>
          <w:rFonts w:cstheme="minorHAnsi"/>
          <w:color w:val="auto"/>
          <w:sz w:val="16"/>
          <w:szCs w:val="16"/>
        </w:rPr>
        <w:t xml:space="preserve"> </w:t>
      </w:r>
      <w:hyperlink r:id="rId3" w:history="1">
        <w:r w:rsidR="00420826" w:rsidRPr="00D42321">
          <w:rPr>
            <w:rStyle w:val="Hyperlink"/>
            <w:rFonts w:cstheme="minorHAnsi"/>
            <w:color w:val="auto"/>
            <w:sz w:val="16"/>
            <w:szCs w:val="16"/>
          </w:rPr>
          <w:t>https://www.worldbank.org/en/topic/digitaldevelopment/publication/broadband-for-all</w:t>
        </w:r>
      </w:hyperlink>
    </w:p>
  </w:endnote>
  <w:endnote w:id="8">
    <w:p w14:paraId="79C0302B" w14:textId="7EC50F30" w:rsidR="00020ADA" w:rsidRPr="00D42321" w:rsidRDefault="00020ADA" w:rsidP="005B7043">
      <w:pPr>
        <w:pStyle w:val="EndnoteText"/>
        <w:rPr>
          <w:rFonts w:cstheme="minorHAnsi"/>
          <w:color w:val="auto"/>
          <w:sz w:val="16"/>
          <w:szCs w:val="16"/>
        </w:rPr>
      </w:pPr>
      <w:r w:rsidRPr="00D42321">
        <w:rPr>
          <w:rStyle w:val="EndnoteReference"/>
          <w:rFonts w:cstheme="minorHAnsi"/>
          <w:color w:val="auto"/>
          <w:sz w:val="16"/>
          <w:szCs w:val="16"/>
        </w:rPr>
        <w:endnoteRef/>
      </w:r>
      <w:r w:rsidRPr="00D42321">
        <w:rPr>
          <w:rFonts w:cstheme="minorHAnsi"/>
          <w:color w:val="auto"/>
          <w:sz w:val="16"/>
          <w:szCs w:val="16"/>
        </w:rPr>
        <w:t xml:space="preserve"> </w:t>
      </w:r>
      <w:hyperlink r:id="rId4" w:history="1">
        <w:r w:rsidR="00420826" w:rsidRPr="00D42321">
          <w:rPr>
            <w:rStyle w:val="Hyperlink"/>
            <w:rFonts w:cstheme="minorHAnsi"/>
            <w:color w:val="auto"/>
            <w:sz w:val="16"/>
            <w:szCs w:val="16"/>
          </w:rPr>
          <w:t>https://digital-strategy.ec.europa.eu/en/policies/desi</w:t>
        </w:r>
      </w:hyperlink>
    </w:p>
  </w:endnote>
  <w:endnote w:id="9">
    <w:p w14:paraId="386B66EE" w14:textId="49C7E503" w:rsidR="00B53068" w:rsidRPr="00EA6C25" w:rsidRDefault="00B53068" w:rsidP="00DA671A">
      <w:pPr>
        <w:pStyle w:val="EndnoteText"/>
        <w:rPr>
          <w:rFonts w:cstheme="minorHAnsi"/>
          <w:color w:val="auto"/>
          <w:sz w:val="16"/>
          <w:szCs w:val="16"/>
        </w:rPr>
      </w:pPr>
      <w:r w:rsidRPr="00D42321">
        <w:rPr>
          <w:rStyle w:val="EndnoteReference"/>
          <w:rFonts w:cstheme="minorHAnsi"/>
          <w:color w:val="auto"/>
          <w:sz w:val="16"/>
          <w:szCs w:val="16"/>
        </w:rPr>
        <w:endnoteRef/>
      </w:r>
      <w:r w:rsidRPr="00D42321">
        <w:rPr>
          <w:rFonts w:cstheme="minorHAnsi"/>
          <w:color w:val="auto"/>
          <w:sz w:val="16"/>
          <w:szCs w:val="16"/>
        </w:rPr>
        <w:t xml:space="preserve"> </w:t>
      </w:r>
      <w:hyperlink r:id="rId5" w:tgtFrame="_new" w:history="1">
        <w:r w:rsidR="00DA671A" w:rsidRPr="00EA6C25">
          <w:rPr>
            <w:rStyle w:val="Hyperlink"/>
            <w:rFonts w:cstheme="minorHAnsi"/>
            <w:color w:val="auto"/>
            <w:sz w:val="16"/>
            <w:szCs w:val="16"/>
          </w:rPr>
          <w:t>https://www.oecd.org/en/data/insights/statistical-releases/2025/05/fibre-and-5g-continue-to-expand-their-footprint-while-fixed-wireless-access-gains-ground-in-oecd-countries.html</w:t>
        </w:r>
      </w:hyperlink>
    </w:p>
  </w:endnote>
  <w:endnote w:id="10">
    <w:p w14:paraId="5D206023" w14:textId="66D13B02" w:rsidR="00753CAB" w:rsidRPr="00EA6C25" w:rsidRDefault="00753CAB" w:rsidP="002852AA">
      <w:pPr>
        <w:pStyle w:val="EndnoteText"/>
        <w:rPr>
          <w:rFonts w:cstheme="minorHAnsi"/>
          <w:color w:val="auto"/>
          <w:sz w:val="16"/>
          <w:szCs w:val="16"/>
        </w:rPr>
      </w:pPr>
      <w:r w:rsidRPr="00EA6C25">
        <w:rPr>
          <w:rStyle w:val="EndnoteReference"/>
          <w:rFonts w:cstheme="minorHAnsi"/>
          <w:color w:val="auto"/>
          <w:sz w:val="16"/>
          <w:szCs w:val="16"/>
        </w:rPr>
        <w:endnoteRef/>
      </w:r>
      <w:r w:rsidRPr="00EA6C25">
        <w:rPr>
          <w:rFonts w:cstheme="minorHAnsi"/>
          <w:color w:val="auto"/>
          <w:sz w:val="16"/>
          <w:szCs w:val="16"/>
        </w:rPr>
        <w:t xml:space="preserve"> </w:t>
      </w:r>
      <w:hyperlink r:id="rId6" w:history="1">
        <w:r w:rsidR="00885793" w:rsidRPr="00EA6C25">
          <w:rPr>
            <w:rStyle w:val="Hyperlink"/>
            <w:rFonts w:cstheme="minorHAnsi"/>
            <w:color w:val="auto"/>
            <w:sz w:val="16"/>
            <w:szCs w:val="16"/>
          </w:rPr>
          <w:t>https://www.ftthcouncil.eu/committees/market-intelligence/2154/2024-ftth-market-panorama-report-by-country</w:t>
        </w:r>
      </w:hyperlink>
    </w:p>
  </w:endnote>
  <w:endnote w:id="11">
    <w:p w14:paraId="59590171" w14:textId="18E77BD7" w:rsidR="00570AF3" w:rsidRPr="00EA6C25" w:rsidRDefault="00570AF3" w:rsidP="00570AF3">
      <w:pPr>
        <w:pStyle w:val="EndnoteText"/>
        <w:rPr>
          <w:rFonts w:cstheme="minorHAnsi"/>
          <w:color w:val="auto"/>
          <w:sz w:val="16"/>
          <w:szCs w:val="16"/>
        </w:rPr>
      </w:pPr>
      <w:r w:rsidRPr="00EA6C25">
        <w:rPr>
          <w:rStyle w:val="EndnoteReference"/>
          <w:rFonts w:cstheme="minorHAnsi"/>
          <w:color w:val="auto"/>
          <w:sz w:val="16"/>
          <w:szCs w:val="16"/>
        </w:rPr>
        <w:endnoteRef/>
      </w:r>
      <w:r w:rsidRPr="00EA6C25">
        <w:rPr>
          <w:rFonts w:cstheme="minorHAnsi"/>
          <w:color w:val="auto"/>
          <w:sz w:val="16"/>
          <w:szCs w:val="16"/>
        </w:rPr>
        <w:t xml:space="preserve"> </w:t>
      </w:r>
      <w:hyperlink r:id="rId7" w:history="1">
        <w:r w:rsidR="00420826" w:rsidRPr="00EA6C25">
          <w:rPr>
            <w:rStyle w:val="Hyperlink"/>
            <w:rFonts w:cstheme="minorHAnsi"/>
            <w:color w:val="auto"/>
            <w:sz w:val="16"/>
            <w:szCs w:val="16"/>
          </w:rPr>
          <w:t>https://www.oecd.org/content/dam/oecd/en/publications/reports/2021/12/promoting-high-quality-broadband-networks-in-g20-countries_379417ef/cf0093dc-en.pdf</w:t>
        </w:r>
      </w:hyperlink>
    </w:p>
  </w:endnote>
  <w:endnote w:id="12">
    <w:p w14:paraId="1B2F632B" w14:textId="77777777" w:rsidR="00C61076" w:rsidRPr="00EA6C25" w:rsidRDefault="00C61076" w:rsidP="00C61076">
      <w:pPr>
        <w:pStyle w:val="EndnoteText"/>
        <w:rPr>
          <w:rStyle w:val="Hyperlink"/>
          <w:color w:val="auto"/>
          <w:sz w:val="16"/>
          <w:szCs w:val="16"/>
        </w:rPr>
      </w:pPr>
      <w:r w:rsidRPr="00EA6C25">
        <w:rPr>
          <w:rStyle w:val="EndnoteReference"/>
          <w:rFonts w:cstheme="minorHAnsi"/>
          <w:color w:val="auto"/>
          <w:sz w:val="16"/>
          <w:szCs w:val="16"/>
        </w:rPr>
        <w:endnoteRef/>
      </w:r>
      <w:r w:rsidRPr="00EA6C25">
        <w:rPr>
          <w:rFonts w:cstheme="minorHAnsi"/>
          <w:color w:val="auto"/>
          <w:sz w:val="16"/>
          <w:szCs w:val="16"/>
        </w:rPr>
        <w:t xml:space="preserve"> </w:t>
      </w:r>
      <w:hyperlink r:id="rId8" w:history="1">
        <w:r w:rsidRPr="00EA6C25">
          <w:rPr>
            <w:rStyle w:val="Hyperlink"/>
            <w:rFonts w:cstheme="minorHAnsi"/>
            <w:color w:val="auto"/>
            <w:sz w:val="16"/>
            <w:szCs w:val="16"/>
          </w:rPr>
          <w:t>https://digital-strategy.ec.europa.eu/en/policies/europes-digital-decade</w:t>
        </w:r>
      </w:hyperlink>
    </w:p>
  </w:endnote>
  <w:endnote w:id="13">
    <w:p w14:paraId="1A666C84" w14:textId="06FB903D" w:rsidR="00A56B0D" w:rsidRPr="00EA6C25" w:rsidRDefault="00A56B0D">
      <w:pPr>
        <w:pStyle w:val="EndnoteText"/>
        <w:rPr>
          <w:rStyle w:val="Hyperlink"/>
          <w:color w:val="auto"/>
          <w:sz w:val="16"/>
          <w:szCs w:val="16"/>
        </w:rPr>
      </w:pPr>
      <w:r w:rsidRPr="00DB5D3F">
        <w:rPr>
          <w:rStyle w:val="EndnoteReference"/>
          <w:rFonts w:cstheme="minorHAnsi"/>
          <w:sz w:val="16"/>
          <w:szCs w:val="16"/>
        </w:rPr>
        <w:endnoteRef/>
      </w:r>
      <w:r w:rsidRPr="00EA6C25">
        <w:rPr>
          <w:rStyle w:val="Hyperlink"/>
          <w:color w:val="auto"/>
          <w:sz w:val="16"/>
          <w:szCs w:val="16"/>
        </w:rPr>
        <w:t>https://www.bundesnetzagentur.de/SharedDocs/Downloads/DE/Sachgebiete/Telekommunikation/Unternehmen_Institutionen/Marktregulierung/Massstaebe_Methoden/FttH_FttB_Ausbau/Deutsche_Telekom_Stellungnahme_FTTH_Regulierung.pdf?__blob=publicationFile&amp;v=1</w:t>
      </w:r>
    </w:p>
  </w:endnote>
  <w:endnote w:id="14">
    <w:p w14:paraId="640CE332" w14:textId="50347C1A" w:rsidR="00395118" w:rsidRPr="002A3BDD" w:rsidRDefault="00395118" w:rsidP="00F52E2E">
      <w:pPr>
        <w:pStyle w:val="EndnoteText"/>
        <w:rPr>
          <w:rFonts w:cstheme="minorHAnsi"/>
          <w:color w:val="auto"/>
          <w:sz w:val="16"/>
          <w:szCs w:val="16"/>
        </w:rPr>
      </w:pPr>
      <w:r w:rsidRPr="00DB5D3F">
        <w:rPr>
          <w:rStyle w:val="Hyperlink"/>
          <w:color w:val="auto"/>
          <w:sz w:val="16"/>
          <w:szCs w:val="16"/>
          <w:vertAlign w:val="superscript"/>
        </w:rPr>
        <w:endnoteRef/>
      </w:r>
      <w:r w:rsidRPr="00EA6C25">
        <w:rPr>
          <w:rStyle w:val="Hyperlink"/>
          <w:color w:val="auto"/>
          <w:sz w:val="16"/>
          <w:szCs w:val="16"/>
        </w:rPr>
        <w:t xml:space="preserve"> </w:t>
      </w:r>
      <w:hyperlink r:id="rId9" w:history="1">
        <w:r w:rsidR="00435013" w:rsidRPr="002A3BDD">
          <w:rPr>
            <w:rStyle w:val="Hyperlink"/>
            <w:rFonts w:cstheme="minorHAnsi"/>
            <w:color w:val="auto"/>
            <w:sz w:val="16"/>
            <w:szCs w:val="16"/>
          </w:rPr>
          <w:t>https://eur-lex.europa.eu/legal-content/EN/TXT/PDF/?uri=CELEX:32022D2481</w:t>
        </w:r>
      </w:hyperlink>
    </w:p>
  </w:endnote>
  <w:endnote w:id="15">
    <w:p w14:paraId="659204AF" w14:textId="0C643B95" w:rsidR="00F52E2E" w:rsidRPr="002A3BDD" w:rsidRDefault="00F52E2E" w:rsidP="00F52E2E">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r w:rsidR="00FB0819" w:rsidRPr="002A3BDD">
        <w:rPr>
          <w:rFonts w:cstheme="minorHAnsi"/>
          <w:color w:val="auto"/>
          <w:sz w:val="16"/>
          <w:szCs w:val="16"/>
        </w:rPr>
        <w:t>https://www.oecd.org/content/dam/oecd/en/publications/reports/2015/11/development-of-high-speed-networks-and-the-role-of-municipal-networks_g17a2728/5jrqdl7rvns3-en.pdf</w:t>
      </w:r>
    </w:p>
  </w:endnote>
  <w:endnote w:id="16">
    <w:p w14:paraId="6C33C601" w14:textId="65474062" w:rsidR="00534581" w:rsidRPr="002A3BDD" w:rsidRDefault="00534581" w:rsidP="00534581">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10" w:history="1">
        <w:r w:rsidR="00A36168" w:rsidRPr="002A3BDD">
          <w:rPr>
            <w:rStyle w:val="Hyperlink"/>
            <w:rFonts w:cstheme="minorHAnsi"/>
            <w:color w:val="auto"/>
            <w:sz w:val="16"/>
            <w:szCs w:val="16"/>
          </w:rPr>
          <w:t>https://rural-interfaces.eu/wp-content/uploads/2022/11/MAP_PP-SW_final_v3.pdf</w:t>
        </w:r>
      </w:hyperlink>
    </w:p>
  </w:endnote>
  <w:endnote w:id="17">
    <w:p w14:paraId="664BABD5" w14:textId="1A1180E4" w:rsidR="0018760F" w:rsidRPr="002A3BDD" w:rsidRDefault="0018760F" w:rsidP="0018760F">
      <w:pPr>
        <w:pStyle w:val="EndnoteText"/>
        <w:rPr>
          <w:rFonts w:cstheme="minorHAnsi"/>
          <w:color w:val="auto"/>
          <w:sz w:val="16"/>
          <w:szCs w:val="16"/>
        </w:rPr>
      </w:pPr>
      <w:r w:rsidRPr="002A3BDD">
        <w:rPr>
          <w:rStyle w:val="EndnoteReference"/>
          <w:rFonts w:cstheme="minorHAnsi"/>
          <w:color w:val="auto"/>
          <w:sz w:val="16"/>
          <w:szCs w:val="16"/>
        </w:rPr>
        <w:endnoteRef/>
      </w:r>
      <w:hyperlink r:id="rId11" w:history="1">
        <w:r w:rsidR="00FB2BCB" w:rsidRPr="002A3BDD">
          <w:rPr>
            <w:rStyle w:val="Hyperlink"/>
            <w:rFonts w:cstheme="minorHAnsi"/>
            <w:color w:val="auto"/>
            <w:sz w:val="16"/>
            <w:szCs w:val="16"/>
          </w:rPr>
          <w:t>https://stokab.se/download/18.4e63bdf518e5799b1da147/1712591992160/Stokab_Neutral%20fibre%20as%20platform%20for%20innovation.pdf</w:t>
        </w:r>
      </w:hyperlink>
    </w:p>
  </w:endnote>
  <w:endnote w:id="18">
    <w:p w14:paraId="06ADF3FE" w14:textId="7F0C8F8F" w:rsidR="00663865" w:rsidRPr="002A3BDD" w:rsidRDefault="00663865" w:rsidP="00663865">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12" w:history="1">
        <w:r w:rsidR="00A36168" w:rsidRPr="002A3BDD">
          <w:rPr>
            <w:rStyle w:val="Hyperlink"/>
            <w:rFonts w:cstheme="minorHAnsi"/>
            <w:color w:val="auto"/>
            <w:sz w:val="16"/>
            <w:szCs w:val="16"/>
          </w:rPr>
          <w:t>https://www.ftthcouncil.eu/resources/all-publications-and-assets/2045/ftth-b-in-rural-areas-2024</w:t>
        </w:r>
      </w:hyperlink>
    </w:p>
  </w:endnote>
  <w:endnote w:id="19">
    <w:p w14:paraId="6D83457F" w14:textId="317DB163" w:rsidR="0018760F" w:rsidRPr="002A3BDD" w:rsidRDefault="0018760F" w:rsidP="00FC73B4">
      <w:pPr>
        <w:pStyle w:val="EndnoteText"/>
        <w:rPr>
          <w:rFonts w:cstheme="minorHAnsi"/>
          <w:color w:val="auto"/>
          <w:sz w:val="16"/>
          <w:szCs w:val="16"/>
        </w:rPr>
      </w:pPr>
      <w:r w:rsidRPr="002A3BDD">
        <w:rPr>
          <w:rStyle w:val="EndnoteReference"/>
          <w:rFonts w:cstheme="minorHAnsi"/>
          <w:color w:val="auto"/>
          <w:sz w:val="16"/>
          <w:szCs w:val="16"/>
        </w:rPr>
        <w:endnoteRef/>
      </w:r>
      <w:hyperlink r:id="rId13" w:history="1">
        <w:r w:rsidR="007F7053" w:rsidRPr="002A3BDD">
          <w:rPr>
            <w:rStyle w:val="Hyperlink"/>
            <w:rFonts w:cstheme="minorHAnsi"/>
            <w:color w:val="auto"/>
            <w:sz w:val="16"/>
            <w:szCs w:val="16"/>
          </w:rPr>
          <w:t>https://www.berec.europa.eu/sites/default/files/files/document_register_store/2021/3/BoR_%2821%29_30_BEREC_opinion_on_the_revision_of_the_BCRD.pdf</w:t>
        </w:r>
      </w:hyperlink>
    </w:p>
  </w:endnote>
  <w:endnote w:id="20">
    <w:p w14:paraId="46E10F47" w14:textId="0CADB419" w:rsidR="00FC73B4" w:rsidRPr="002A3BDD" w:rsidRDefault="00FC73B4" w:rsidP="009720F5">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14" w:history="1">
        <w:r w:rsidR="00902DD7" w:rsidRPr="002A3BDD">
          <w:rPr>
            <w:rStyle w:val="Hyperlink"/>
            <w:rFonts w:cstheme="minorHAnsi"/>
            <w:color w:val="auto"/>
            <w:sz w:val="16"/>
            <w:szCs w:val="16"/>
          </w:rPr>
          <w:t>https://stadsnatsforeningen.se/globalassets/press-och-asikter/remisser/2024/response-to-the-european-commissions-white-paper---stadsnatsforeningen-slutversion.pdf</w:t>
        </w:r>
      </w:hyperlink>
    </w:p>
  </w:endnote>
  <w:endnote w:id="21">
    <w:p w14:paraId="1954FA04" w14:textId="2661FF29" w:rsidR="00CC1859" w:rsidRPr="002A3BDD" w:rsidRDefault="00CC1859">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https://www.skekraft.se/om-oss/verksamhet/bredbandsnatet/</w:t>
      </w:r>
    </w:p>
  </w:endnote>
  <w:endnote w:id="22">
    <w:p w14:paraId="29E9522C" w14:textId="716EBC3C" w:rsidR="00E61117" w:rsidRPr="002A3BDD" w:rsidRDefault="00E61117" w:rsidP="00E61117">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15" w:history="1">
        <w:r w:rsidR="00245BCA" w:rsidRPr="002A3BDD">
          <w:rPr>
            <w:rStyle w:val="Hyperlink"/>
            <w:rFonts w:cstheme="minorHAnsi"/>
            <w:color w:val="auto"/>
            <w:sz w:val="16"/>
            <w:szCs w:val="16"/>
          </w:rPr>
          <w:t>https://www.infrastrukturnyheter.se/20221118/27020/skelleftea-kraft-beviljas-bredbandsstod-glesbygd</w:t>
        </w:r>
      </w:hyperlink>
    </w:p>
  </w:endnote>
  <w:endnote w:id="23">
    <w:p w14:paraId="1EDDEFC8" w14:textId="24C253D2" w:rsidR="001431AC" w:rsidRPr="002A3BDD" w:rsidRDefault="001431AC" w:rsidP="001431AC">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16" w:history="1">
        <w:r w:rsidR="00245BCA" w:rsidRPr="002A3BDD">
          <w:rPr>
            <w:rStyle w:val="Hyperlink"/>
            <w:rFonts w:cstheme="minorHAnsi"/>
            <w:color w:val="auto"/>
            <w:sz w:val="16"/>
            <w:szCs w:val="16"/>
          </w:rPr>
          <w:t>https://bbcmag.com/municipal-fiber-in-sweden-4/</w:t>
        </w:r>
      </w:hyperlink>
    </w:p>
  </w:endnote>
  <w:endnote w:id="24">
    <w:p w14:paraId="70419AE5" w14:textId="58E1CE64" w:rsidR="001929DB" w:rsidRPr="002A3BDD" w:rsidRDefault="001929DB">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https://www.stadsnatsforeningen.se/globalassets/in-english/facts-and-statistics/local-fibre-networks-in-sweden.pdf</w:t>
      </w:r>
    </w:p>
  </w:endnote>
  <w:endnote w:id="25">
    <w:p w14:paraId="696617DD" w14:textId="156836BE" w:rsidR="00E119FF" w:rsidRPr="002A3BDD" w:rsidRDefault="00E119FF">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https://brekoverband.de/wp-content/uploads/2025/08/BREKO_Marktanalyse_2025_.pdf</w:t>
      </w:r>
    </w:p>
  </w:endnote>
  <w:endnote w:id="26">
    <w:p w14:paraId="5D688B6D" w14:textId="1012E138" w:rsidR="009A20F9" w:rsidRPr="002A3BDD" w:rsidRDefault="009A20F9" w:rsidP="00727C3C">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17" w:history="1">
        <w:r w:rsidR="00245BCA" w:rsidRPr="002A3BDD">
          <w:rPr>
            <w:rStyle w:val="Hyperlink"/>
            <w:rFonts w:cstheme="minorHAnsi"/>
            <w:color w:val="auto"/>
            <w:sz w:val="16"/>
            <w:szCs w:val="16"/>
          </w:rPr>
          <w:t>https://www.swlb.de/de/SWLB-Navigation/Presse/Pressemeldungen-2022-2023/SWLB-Ueber-die-Haelfte-Ludwigsburgs-mit-Glasfaser-ausgebaut-2023-02-03.html</w:t>
        </w:r>
      </w:hyperlink>
    </w:p>
  </w:endnote>
  <w:endnote w:id="27">
    <w:p w14:paraId="2EEB0486" w14:textId="1048F951" w:rsidR="00727C3C" w:rsidRPr="002A3BDD" w:rsidRDefault="00727C3C" w:rsidP="00727C3C">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18" w:history="1">
        <w:r w:rsidR="00245BCA" w:rsidRPr="002A3BDD">
          <w:rPr>
            <w:rStyle w:val="Hyperlink"/>
            <w:rFonts w:cstheme="minorHAnsi"/>
            <w:color w:val="auto"/>
            <w:sz w:val="16"/>
            <w:szCs w:val="16"/>
          </w:rPr>
          <w:t>https://www.ludwigsburg24.com/15-millionen-euro-offensive-stadtwerke-ludwigsburg-kornwestheim-bringen-schnelles-internet-nach-asperg/</w:t>
        </w:r>
      </w:hyperlink>
    </w:p>
  </w:endnote>
  <w:endnote w:id="28">
    <w:p w14:paraId="48D984B4" w14:textId="48AE48AF" w:rsidR="006C65F3" w:rsidRPr="002A3BDD" w:rsidRDefault="006C65F3" w:rsidP="006C65F3">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19" w:history="1">
        <w:r w:rsidR="00245BCA" w:rsidRPr="002A3BDD">
          <w:rPr>
            <w:rStyle w:val="Hyperlink"/>
            <w:rFonts w:cstheme="minorHAnsi"/>
            <w:color w:val="auto"/>
            <w:sz w:val="16"/>
            <w:szCs w:val="16"/>
          </w:rPr>
          <w:t>https://www.die-bbh-gruppe.de/en/newsroom/news/unique-project-in-germany-bbh-provides-assistance-in-cooperation-project-of-stadtwerke-ludwigsburg-kornwestheim-and-deutsche-telekom-in-the-fibre-optic-expansion</w:t>
        </w:r>
      </w:hyperlink>
    </w:p>
  </w:endnote>
  <w:endnote w:id="29">
    <w:p w14:paraId="5B8D3985" w14:textId="71C7E808" w:rsidR="008F1764" w:rsidRPr="002A3BDD" w:rsidRDefault="008F1764">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https://www.vatm.de/offene-netze-als-schluessel-fuer-den-glasfaserausbau-vatm-sbr-studie-vorgestellt/</w:t>
      </w:r>
    </w:p>
  </w:endnote>
  <w:endnote w:id="30">
    <w:p w14:paraId="13065EAE" w14:textId="7EDFA004" w:rsidR="0049449D" w:rsidRPr="002A3BDD" w:rsidRDefault="0049449D" w:rsidP="0049449D">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20" w:history="1">
        <w:r w:rsidR="00245BCA" w:rsidRPr="002A3BDD">
          <w:rPr>
            <w:rStyle w:val="Hyperlink"/>
            <w:rFonts w:cstheme="minorHAnsi"/>
            <w:color w:val="auto"/>
            <w:sz w:val="16"/>
            <w:szCs w:val="16"/>
          </w:rPr>
          <w:t>https://fiber-products.com/gigabit-strategy-2025/</w:t>
        </w:r>
      </w:hyperlink>
    </w:p>
  </w:endnote>
  <w:endnote w:id="31">
    <w:p w14:paraId="45FAB780" w14:textId="67A37E71" w:rsidR="00AF37EA" w:rsidRPr="002A3BDD" w:rsidRDefault="00AF37EA" w:rsidP="00AF37EA">
      <w:pPr>
        <w:pStyle w:val="EndnoteText"/>
        <w:rPr>
          <w:rFonts w:cstheme="minorHAnsi"/>
          <w:color w:val="auto"/>
          <w:sz w:val="16"/>
          <w:szCs w:val="16"/>
        </w:rPr>
      </w:pPr>
      <w:r w:rsidRPr="002A3BDD">
        <w:rPr>
          <w:rStyle w:val="EndnoteReference"/>
          <w:sz w:val="16"/>
          <w:szCs w:val="16"/>
        </w:rPr>
        <w:endnoteRef/>
      </w:r>
      <w:r w:rsidRPr="002A3BDD">
        <w:rPr>
          <w:rFonts w:cstheme="minorHAnsi"/>
          <w:color w:val="auto"/>
          <w:sz w:val="16"/>
          <w:szCs w:val="16"/>
        </w:rPr>
        <w:t xml:space="preserve"> FTTH Council Europe - FTTH/B Market Panorama in Europe September 2024</w:t>
      </w:r>
    </w:p>
  </w:endnote>
  <w:endnote w:id="32">
    <w:p w14:paraId="3798AB8D" w14:textId="24574E39" w:rsidR="00563443" w:rsidRPr="002A3BDD" w:rsidRDefault="00563443" w:rsidP="00563443">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21" w:history="1">
        <w:r w:rsidR="00245BCA" w:rsidRPr="002A3BDD">
          <w:rPr>
            <w:rStyle w:val="Hyperlink"/>
            <w:rFonts w:cstheme="minorHAnsi"/>
            <w:color w:val="auto"/>
            <w:sz w:val="16"/>
            <w:szCs w:val="16"/>
          </w:rPr>
          <w:t>https://www.rtr.at/rtr/publikationen/Kommunikationsbericht/RTR_Kommunikationsbericht_24_EngWeb_Final.pdf</w:t>
        </w:r>
      </w:hyperlink>
    </w:p>
  </w:endnote>
  <w:endnote w:id="33">
    <w:p w14:paraId="4C0B1813" w14:textId="4148E490" w:rsidR="00FD21C2" w:rsidRPr="002A3BDD" w:rsidRDefault="00FD21C2" w:rsidP="00FD21C2">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22" w:history="1">
        <w:r w:rsidR="00152B7E" w:rsidRPr="002A3BDD">
          <w:rPr>
            <w:rStyle w:val="Hyperlink"/>
            <w:rFonts w:cstheme="minorHAnsi"/>
            <w:color w:val="auto"/>
            <w:sz w:val="16"/>
            <w:szCs w:val="16"/>
          </w:rPr>
          <w:t>https://www.ffg.at/Breitband2030/Foerderuebersicht</w:t>
        </w:r>
      </w:hyperlink>
    </w:p>
  </w:endnote>
  <w:endnote w:id="34">
    <w:p w14:paraId="394268D2" w14:textId="49F247CA" w:rsidR="009F05F0" w:rsidRPr="002A3BDD" w:rsidRDefault="009F05F0" w:rsidP="009F05F0">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23" w:history="1">
        <w:r w:rsidR="00245BCA" w:rsidRPr="002A3BDD">
          <w:rPr>
            <w:rStyle w:val="Hyperlink"/>
            <w:rFonts w:cstheme="minorHAnsi"/>
            <w:color w:val="auto"/>
            <w:sz w:val="16"/>
            <w:szCs w:val="16"/>
          </w:rPr>
          <w:t>https://digital-strategy.ec.europa.eu/en/policies/digital-connectivity-austria</w:t>
        </w:r>
      </w:hyperlink>
    </w:p>
  </w:endnote>
  <w:endnote w:id="35">
    <w:p w14:paraId="0CEC139B" w14:textId="4A46AB4E" w:rsidR="00982562" w:rsidRPr="002A3BDD" w:rsidRDefault="00982562" w:rsidP="00982562">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24" w:history="1">
        <w:r w:rsidR="00245BCA" w:rsidRPr="002A3BDD">
          <w:rPr>
            <w:rStyle w:val="Hyperlink"/>
            <w:rFonts w:cstheme="minorHAnsi"/>
            <w:color w:val="auto"/>
            <w:sz w:val="16"/>
            <w:szCs w:val="16"/>
          </w:rPr>
          <w:t>https://www.noegig.at/ueber-noegig/</w:t>
        </w:r>
      </w:hyperlink>
    </w:p>
  </w:endnote>
  <w:endnote w:id="36">
    <w:p w14:paraId="4FBE0591" w14:textId="33D389E9" w:rsidR="00862F14" w:rsidRPr="002A3BDD" w:rsidRDefault="00862F14" w:rsidP="00862F14">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25" w:history="1">
        <w:r w:rsidR="001602D7" w:rsidRPr="002A3BDD">
          <w:rPr>
            <w:rStyle w:val="Hyperlink"/>
            <w:rFonts w:cstheme="minorHAnsi"/>
            <w:color w:val="auto"/>
            <w:sz w:val="16"/>
            <w:szCs w:val="16"/>
          </w:rPr>
          <w:t>https://eur-lex.europa.eu/legal-content/EN/TXT/PDF/?uri=CELEX:32018L1972</w:t>
        </w:r>
      </w:hyperlink>
    </w:p>
  </w:endnote>
  <w:endnote w:id="37">
    <w:p w14:paraId="47E87087" w14:textId="440A4FA8" w:rsidR="00862F14" w:rsidRPr="002A3BDD" w:rsidRDefault="00862F14" w:rsidP="00862F14">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26" w:history="1">
        <w:r w:rsidR="00D65F7A" w:rsidRPr="002A3BDD">
          <w:rPr>
            <w:rStyle w:val="Hyperlink"/>
            <w:rFonts w:cstheme="minorHAnsi"/>
            <w:color w:val="auto"/>
            <w:sz w:val="16"/>
            <w:szCs w:val="16"/>
          </w:rPr>
          <w:t>https://www.berec.europa.eu/sites/default/files/files/document_register_store/2020/12/BoR_%2820%29_232_BEREC_Guidelines_Art76_%28Clean%29_%28Publication%29.pdf</w:t>
        </w:r>
      </w:hyperlink>
    </w:p>
  </w:endnote>
  <w:endnote w:id="38">
    <w:p w14:paraId="0672874C" w14:textId="7ED90690" w:rsidR="00CD4EE2" w:rsidRPr="002A3BDD" w:rsidRDefault="00CD4EE2">
      <w:pPr>
        <w:pStyle w:val="EndnoteText"/>
        <w:rPr>
          <w:sz w:val="16"/>
          <w:szCs w:val="16"/>
        </w:rPr>
      </w:pPr>
      <w:r w:rsidRPr="002A3BDD">
        <w:rPr>
          <w:rStyle w:val="EndnoteReference"/>
          <w:sz w:val="16"/>
          <w:szCs w:val="16"/>
        </w:rPr>
        <w:endnoteRef/>
      </w:r>
      <w:r w:rsidRPr="002A3BDD">
        <w:rPr>
          <w:sz w:val="16"/>
          <w:szCs w:val="16"/>
        </w:rPr>
        <w:t xml:space="preserve"> https://www.ssnf.org/globalassets/in-english/facts-and-statistics/local-fibre-networks-in-sweden.pdf</w:t>
      </w:r>
    </w:p>
  </w:endnote>
  <w:endnote w:id="39">
    <w:p w14:paraId="2E1B8D3F" w14:textId="06038076" w:rsidR="00C82745" w:rsidRPr="002A3BDD" w:rsidRDefault="00C82745">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https://stokab.se/en/stokab</w:t>
      </w:r>
    </w:p>
  </w:endnote>
  <w:endnote w:id="40">
    <w:p w14:paraId="30B901CE" w14:textId="566FA126" w:rsidR="00E03D92" w:rsidRPr="002A3BDD" w:rsidRDefault="00E03D92" w:rsidP="00E03D92">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r w:rsidR="00390062" w:rsidRPr="002A3BDD">
        <w:rPr>
          <w:rFonts w:cstheme="minorHAnsi"/>
          <w:color w:val="auto"/>
          <w:sz w:val="16"/>
          <w:szCs w:val="16"/>
        </w:rPr>
        <w:t>https://www.stadsnatsforeningen.se/globalassets/in-english/facts-and-statistics/ssnf_thestory_hres.pdf</w:t>
      </w:r>
    </w:p>
  </w:endnote>
  <w:endnote w:id="41">
    <w:p w14:paraId="65DD189D" w14:textId="00213C07" w:rsidR="00EF0038" w:rsidRPr="002A3BDD" w:rsidRDefault="00EF0038" w:rsidP="00EF0038">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27" w:history="1">
        <w:r w:rsidRPr="002A3BDD">
          <w:rPr>
            <w:rStyle w:val="Hyperlink"/>
            <w:rFonts w:cstheme="minorHAnsi"/>
            <w:color w:val="auto"/>
            <w:sz w:val="16"/>
            <w:szCs w:val="16"/>
          </w:rPr>
          <w:t>https://www.vatm.de/wp-content/uploads/2025/09/2025-09-08_SBR_VATM-Studie_Netznutzungsmodelle_Open-Access.pdf</w:t>
        </w:r>
      </w:hyperlink>
    </w:p>
  </w:endnote>
  <w:endnote w:id="42">
    <w:p w14:paraId="45090952" w14:textId="5EDCC344" w:rsidR="00F762C2" w:rsidRPr="002A3BDD" w:rsidRDefault="00F762C2">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https://www.bmwkms.gv.at/themen/telekommunikation-post/breitband/breitbandfoerderung/breitbandaustria2030/opennet.html</w:t>
      </w:r>
    </w:p>
  </w:endnote>
  <w:endnote w:id="43">
    <w:p w14:paraId="4AF58E27" w14:textId="5369C46A" w:rsidR="0025427B" w:rsidRPr="002A3BDD" w:rsidRDefault="0025427B">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https://www.rtr.at/TKP/aktuelles/publikationen/publikationen/Open_Access_Netze_Oesterreich.pdf</w:t>
      </w:r>
    </w:p>
  </w:endnote>
  <w:endnote w:id="44">
    <w:p w14:paraId="69729AE7" w14:textId="15DC9E15" w:rsidR="006D11D8" w:rsidRPr="002A3BDD" w:rsidRDefault="006D11D8">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https://www.rtr.at/TKP/aktuelles/publikationen/publikationen/Open_Access_Netze_Oesterreich_update2024.pdf</w:t>
      </w:r>
    </w:p>
  </w:endnote>
  <w:endnote w:id="45">
    <w:p w14:paraId="1C78F777" w14:textId="4927BF1C" w:rsidR="001426E2" w:rsidRPr="002A3BDD" w:rsidRDefault="001426E2" w:rsidP="001426E2">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28" w:history="1">
        <w:r w:rsidR="000327D7" w:rsidRPr="002A3BDD">
          <w:rPr>
            <w:rStyle w:val="Hyperlink"/>
            <w:rFonts w:cstheme="minorHAnsi"/>
            <w:color w:val="auto"/>
            <w:sz w:val="16"/>
            <w:szCs w:val="16"/>
          </w:rPr>
          <w:t>https://www.vatm.de/studie-zeigt-kooperationen-und-open-access-sind-schluessel-fuer-den-glasfaser-erfolg-in-deutschland/</w:t>
        </w:r>
      </w:hyperlink>
    </w:p>
  </w:endnote>
  <w:endnote w:id="46">
    <w:p w14:paraId="40CC11F3" w14:textId="7C86AFE5" w:rsidR="008A7303" w:rsidRPr="002A3BDD" w:rsidRDefault="008A7303" w:rsidP="008A7303">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29" w:history="1">
        <w:r w:rsidR="000327D7" w:rsidRPr="002A3BDD">
          <w:rPr>
            <w:rStyle w:val="Hyperlink"/>
            <w:rFonts w:cstheme="minorHAnsi"/>
            <w:color w:val="auto"/>
            <w:sz w:val="16"/>
            <w:szCs w:val="16"/>
          </w:rPr>
          <w:t>https://digital-strategy.ec.europa.eu/en/policies/2024-state-digital-decade-package</w:t>
        </w:r>
      </w:hyperlink>
    </w:p>
  </w:endnote>
  <w:endnote w:id="47">
    <w:p w14:paraId="5E95DAFD" w14:textId="45AD7A95" w:rsidR="000D21E0" w:rsidRPr="002A3BDD" w:rsidRDefault="000D21E0">
      <w:pPr>
        <w:pStyle w:val="EndnoteText"/>
        <w:rPr>
          <w:sz w:val="16"/>
          <w:szCs w:val="16"/>
        </w:rPr>
      </w:pPr>
      <w:r w:rsidRPr="002A3BDD">
        <w:rPr>
          <w:rStyle w:val="EndnoteReference"/>
          <w:sz w:val="16"/>
          <w:szCs w:val="16"/>
        </w:rPr>
        <w:endnoteRef/>
      </w:r>
      <w:r w:rsidRPr="002A3BDD">
        <w:rPr>
          <w:sz w:val="16"/>
          <w:szCs w:val="16"/>
        </w:rPr>
        <w:t xml:space="preserve"> https://www.wik.org/fileadmin/files/_migrated/news_files/WIK_Diskussionsbeitrag_Nr_390.pdf</w:t>
      </w:r>
    </w:p>
  </w:endnote>
  <w:endnote w:id="48">
    <w:p w14:paraId="64ED7DB8" w14:textId="115D948F" w:rsidR="00E04486" w:rsidRPr="002A3BDD" w:rsidRDefault="00E04486">
      <w:pPr>
        <w:pStyle w:val="EndnoteText"/>
        <w:rPr>
          <w:sz w:val="16"/>
          <w:szCs w:val="16"/>
        </w:rPr>
      </w:pPr>
      <w:r w:rsidRPr="002A3BDD">
        <w:rPr>
          <w:rStyle w:val="EndnoteReference"/>
          <w:sz w:val="16"/>
          <w:szCs w:val="16"/>
        </w:rPr>
        <w:endnoteRef/>
      </w:r>
      <w:r w:rsidRPr="002A3BDD">
        <w:rPr>
          <w:sz w:val="16"/>
          <w:szCs w:val="16"/>
        </w:rPr>
        <w:t xml:space="preserve"> </w:t>
      </w:r>
      <w:r w:rsidR="00895AEE" w:rsidRPr="002A3BDD">
        <w:rPr>
          <w:sz w:val="16"/>
          <w:szCs w:val="16"/>
        </w:rPr>
        <w:t>https://www.berec.europa.eu/system/files/2025-06/BoR%20%2825%29%2068%20BEREC%20Report%20on%20Infrastructure%20Sharing_0.pdf</w:t>
      </w:r>
    </w:p>
  </w:endnote>
  <w:endnote w:id="49">
    <w:p w14:paraId="039F8299" w14:textId="7137D43C" w:rsidR="004C4F34" w:rsidRPr="002A3BDD" w:rsidRDefault="004C4F34">
      <w:pPr>
        <w:pStyle w:val="EndnoteText"/>
        <w:rPr>
          <w:sz w:val="16"/>
          <w:szCs w:val="16"/>
        </w:rPr>
      </w:pPr>
      <w:r w:rsidRPr="002A3BDD">
        <w:rPr>
          <w:rStyle w:val="EndnoteReference"/>
          <w:sz w:val="16"/>
          <w:szCs w:val="16"/>
        </w:rPr>
        <w:endnoteRef/>
      </w:r>
      <w:r w:rsidRPr="002A3BDD">
        <w:rPr>
          <w:sz w:val="16"/>
          <w:szCs w:val="16"/>
        </w:rPr>
        <w:t xml:space="preserve"> </w:t>
      </w:r>
      <w:r w:rsidRPr="002A3BDD">
        <w:rPr>
          <w:rFonts w:cstheme="minorHAnsi"/>
          <w:color w:val="auto"/>
          <w:sz w:val="16"/>
          <w:szCs w:val="16"/>
        </w:rPr>
        <w:t>https://broadbandnow.com/research/open-access-networks</w:t>
      </w:r>
    </w:p>
  </w:endnote>
  <w:endnote w:id="50">
    <w:p w14:paraId="1B5A0812" w14:textId="6D3FEEB7" w:rsidR="009C0F03" w:rsidRPr="002A3BDD" w:rsidRDefault="009C0F03" w:rsidP="009C0F03">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30" w:history="1">
        <w:r w:rsidR="00AF37EA" w:rsidRPr="002A3BDD">
          <w:rPr>
            <w:rStyle w:val="Hyperlink"/>
            <w:rFonts w:cstheme="minorHAnsi"/>
            <w:sz w:val="16"/>
            <w:szCs w:val="16"/>
          </w:rPr>
          <w:t>https://www.berec.europa.eu/sites/default/files/files/document_register_store/2020/10/BoR_%2820%29_165_BEREC_Guidelines_VHCN.pdf</w:t>
        </w:r>
      </w:hyperlink>
    </w:p>
  </w:endnote>
  <w:endnote w:id="51">
    <w:p w14:paraId="67F45C66" w14:textId="77777777" w:rsidR="009C0F03" w:rsidRPr="002A3BDD" w:rsidRDefault="009C0F03" w:rsidP="009C0F03">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31" w:history="1">
        <w:r w:rsidRPr="002A3BDD">
          <w:rPr>
            <w:rStyle w:val="Hyperlink"/>
            <w:rFonts w:cstheme="minorHAnsi"/>
            <w:color w:val="auto"/>
            <w:sz w:val="16"/>
            <w:szCs w:val="16"/>
          </w:rPr>
          <w:t>https://www.oecd.org/content/dam/oecd/en/publications/reports/2013/03/broadband-networks-and-open-access_g17a2259/5k49qgz7crmr-en.pdf</w:t>
        </w:r>
      </w:hyperlink>
    </w:p>
  </w:endnote>
  <w:endnote w:id="52">
    <w:p w14:paraId="1DAE21D6" w14:textId="5C4F426B" w:rsidR="00BC1443" w:rsidRPr="002A3BDD" w:rsidRDefault="00BC1443" w:rsidP="00BC1443">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32" w:history="1">
        <w:r w:rsidR="00A564F1" w:rsidRPr="002A3BDD">
          <w:rPr>
            <w:rStyle w:val="Hyperlink"/>
            <w:rFonts w:cstheme="minorHAnsi"/>
            <w:color w:val="auto"/>
            <w:sz w:val="16"/>
            <w:szCs w:val="16"/>
          </w:rPr>
          <w:t>https://www.oecd.org/content/dam/oecd/en/publications/reports/2024/06/financing-broadband-networks-of-the-future_812ce667/eafc728b-en.pdf</w:t>
        </w:r>
      </w:hyperlink>
    </w:p>
  </w:endnote>
  <w:endnote w:id="53">
    <w:p w14:paraId="6E269CB7" w14:textId="733A255F" w:rsidR="00923EE0" w:rsidRPr="002A3BDD" w:rsidRDefault="00923EE0">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https://eur-lex.europa.eu/legal-content/EN/TXT/PDF/?uri=CELEX:32022L2555</w:t>
      </w:r>
    </w:p>
  </w:endnote>
  <w:endnote w:id="54">
    <w:p w14:paraId="3C2EE24B" w14:textId="6C481BF2" w:rsidR="00323763" w:rsidRPr="002A3BDD" w:rsidRDefault="00323763" w:rsidP="00323763">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33" w:history="1">
        <w:r w:rsidR="00A564F1" w:rsidRPr="002A3BDD">
          <w:rPr>
            <w:rStyle w:val="Hyperlink"/>
            <w:rFonts w:cstheme="minorHAnsi"/>
            <w:color w:val="auto"/>
            <w:sz w:val="16"/>
            <w:szCs w:val="16"/>
          </w:rPr>
          <w:t>https://www.enisa.europa.eu/publications/5g-security-controls-matrix</w:t>
        </w:r>
      </w:hyperlink>
    </w:p>
  </w:endnote>
  <w:endnote w:id="55">
    <w:p w14:paraId="61EB522F" w14:textId="113AE4B9" w:rsidR="000F49C8" w:rsidRPr="002A3BDD" w:rsidRDefault="000F49C8" w:rsidP="000F49C8">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34" w:history="1">
        <w:r w:rsidRPr="002A3BDD">
          <w:rPr>
            <w:rStyle w:val="Hyperlink"/>
            <w:rFonts w:cstheme="minorHAnsi"/>
            <w:color w:val="auto"/>
            <w:sz w:val="16"/>
            <w:szCs w:val="16"/>
          </w:rPr>
          <w:t>https://www.berec.europa.eu/system/files/2025-03/BoR%20%2825%29%2036%20Report_Workshop%20on%20Network%20Resilience.pdf</w:t>
        </w:r>
      </w:hyperlink>
    </w:p>
  </w:endnote>
  <w:endnote w:id="56">
    <w:p w14:paraId="11C4757A" w14:textId="57C1B54F" w:rsidR="00187604" w:rsidRPr="002A3BDD" w:rsidRDefault="00187604" w:rsidP="008D31BF">
      <w:pPr>
        <w:pStyle w:val="EndnoteText"/>
        <w:rPr>
          <w:rFonts w:cstheme="minorHAnsi"/>
          <w:color w:val="auto"/>
          <w:sz w:val="16"/>
          <w:szCs w:val="16"/>
        </w:rPr>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35" w:history="1">
        <w:r w:rsidR="00A564F1" w:rsidRPr="002A3BDD">
          <w:rPr>
            <w:rStyle w:val="Hyperlink"/>
            <w:rFonts w:cstheme="minorHAnsi"/>
            <w:color w:val="auto"/>
            <w:sz w:val="16"/>
            <w:szCs w:val="16"/>
          </w:rPr>
          <w:t>https://www.vku.de/themen/digitalisierung/</w:t>
        </w:r>
      </w:hyperlink>
    </w:p>
  </w:endnote>
  <w:endnote w:id="57">
    <w:p w14:paraId="68189E22" w14:textId="21F2EC1D" w:rsidR="00C41703" w:rsidRPr="002A3BDD" w:rsidRDefault="00C41703" w:rsidP="00C41703">
      <w:pPr>
        <w:pStyle w:val="EndnoteText"/>
        <w:rPr>
          <w:rFonts w:cstheme="minorHAnsi"/>
          <w:color w:val="auto"/>
          <w:sz w:val="16"/>
          <w:szCs w:val="16"/>
          <w:lang w:val="en-GB"/>
        </w:rPr>
      </w:pPr>
      <w:r w:rsidRPr="002A3BDD">
        <w:rPr>
          <w:rStyle w:val="EndnoteReference"/>
          <w:rFonts w:cstheme="minorHAnsi"/>
          <w:color w:val="auto"/>
          <w:sz w:val="16"/>
          <w:szCs w:val="16"/>
        </w:rPr>
        <w:endnoteRef/>
      </w:r>
      <w:r w:rsidRPr="002A3BDD">
        <w:rPr>
          <w:rFonts w:cstheme="minorHAnsi"/>
          <w:color w:val="auto"/>
          <w:sz w:val="16"/>
          <w:szCs w:val="16"/>
          <w:lang w:val="en-GB"/>
        </w:rPr>
        <w:t xml:space="preserve"> </w:t>
      </w:r>
      <w:hyperlink r:id="rId36" w:history="1">
        <w:r w:rsidR="00A564F1" w:rsidRPr="002A3BDD">
          <w:rPr>
            <w:rStyle w:val="Hyperlink"/>
            <w:rFonts w:cstheme="minorHAnsi"/>
            <w:color w:val="auto"/>
            <w:sz w:val="16"/>
            <w:szCs w:val="16"/>
            <w:lang w:val="en-GB"/>
          </w:rPr>
          <w:t>https://a.storyblok.com/f/162274/x/d4a04d5e9b/umea-energi-ars-och-hallbarhetsredovisning-2024.pdf</w:t>
        </w:r>
      </w:hyperlink>
    </w:p>
  </w:endnote>
  <w:endnote w:id="58">
    <w:p w14:paraId="37E001C8" w14:textId="5766B62F" w:rsidR="000D0C95" w:rsidRPr="002A3BDD" w:rsidRDefault="000D0C95" w:rsidP="000D0C95">
      <w:pPr>
        <w:pStyle w:val="EndnoteText"/>
        <w:rPr>
          <w:rFonts w:cstheme="minorHAnsi"/>
          <w:color w:val="auto"/>
          <w:sz w:val="16"/>
          <w:szCs w:val="16"/>
          <w:lang w:val="en-GB"/>
        </w:rPr>
      </w:pPr>
      <w:r w:rsidRPr="002A3BDD">
        <w:rPr>
          <w:rStyle w:val="EndnoteReference"/>
          <w:rFonts w:cstheme="minorHAnsi"/>
          <w:color w:val="auto"/>
          <w:sz w:val="16"/>
          <w:szCs w:val="16"/>
        </w:rPr>
        <w:endnoteRef/>
      </w:r>
      <w:r w:rsidRPr="002A3BDD">
        <w:rPr>
          <w:rFonts w:cstheme="minorHAnsi"/>
          <w:color w:val="auto"/>
          <w:sz w:val="16"/>
          <w:szCs w:val="16"/>
          <w:lang w:val="en-GB"/>
        </w:rPr>
        <w:t xml:space="preserve"> </w:t>
      </w:r>
      <w:hyperlink r:id="rId37" w:history="1">
        <w:r w:rsidR="00A564F1" w:rsidRPr="002A3BDD">
          <w:rPr>
            <w:rStyle w:val="Hyperlink"/>
            <w:rFonts w:cstheme="minorHAnsi"/>
            <w:color w:val="auto"/>
            <w:sz w:val="16"/>
            <w:szCs w:val="16"/>
            <w:lang w:val="en-GB"/>
          </w:rPr>
          <w:t>https://eur-lex.europa.eu/EN/legal-content/summary/european-electronic-communications-code.html</w:t>
        </w:r>
      </w:hyperlink>
    </w:p>
  </w:endnote>
  <w:endnote w:id="59">
    <w:p w14:paraId="052C7AFB" w14:textId="1F1EC1E2" w:rsidR="00C43B02" w:rsidRPr="002A3BDD" w:rsidRDefault="00C43B02" w:rsidP="00C43B02">
      <w:pPr>
        <w:pStyle w:val="EndnoteText"/>
        <w:rPr>
          <w:rFonts w:cstheme="minorHAnsi"/>
          <w:color w:val="auto"/>
          <w:sz w:val="16"/>
          <w:szCs w:val="16"/>
          <w:lang w:val="en-GB"/>
        </w:rPr>
      </w:pPr>
      <w:r w:rsidRPr="002A3BDD">
        <w:rPr>
          <w:rStyle w:val="EndnoteReference"/>
          <w:rFonts w:cstheme="minorHAnsi"/>
          <w:color w:val="auto"/>
          <w:sz w:val="16"/>
          <w:szCs w:val="16"/>
        </w:rPr>
        <w:endnoteRef/>
      </w:r>
      <w:r w:rsidRPr="002A3BDD">
        <w:rPr>
          <w:rFonts w:cstheme="minorHAnsi"/>
          <w:color w:val="auto"/>
          <w:sz w:val="16"/>
          <w:szCs w:val="16"/>
          <w:lang w:val="en-GB"/>
        </w:rPr>
        <w:t xml:space="preserve"> </w:t>
      </w:r>
      <w:hyperlink r:id="rId38" w:history="1">
        <w:r w:rsidR="00A564F1" w:rsidRPr="002A3BDD">
          <w:rPr>
            <w:rStyle w:val="Hyperlink"/>
            <w:rFonts w:cstheme="minorHAnsi"/>
            <w:color w:val="auto"/>
            <w:sz w:val="16"/>
            <w:szCs w:val="16"/>
            <w:lang w:val="en-GB"/>
          </w:rPr>
          <w:t>https://pts.se/contentassets/29b19e7d2bfd4c588b1fb4b2e420e39a/anvisningar-och-forutsattningar-for-pts-bredbandsstod-2024.pdf</w:t>
        </w:r>
      </w:hyperlink>
    </w:p>
  </w:endnote>
  <w:endnote w:id="60">
    <w:p w14:paraId="7E5E64BE" w14:textId="02136E98" w:rsidR="00B503B2" w:rsidRPr="002A3BDD" w:rsidRDefault="00B503B2" w:rsidP="00B503B2">
      <w:pPr>
        <w:pStyle w:val="EndnoteText"/>
        <w:rPr>
          <w:rFonts w:cstheme="minorHAnsi"/>
          <w:color w:val="auto"/>
          <w:sz w:val="16"/>
          <w:szCs w:val="16"/>
          <w:lang w:val="en-GB"/>
        </w:rPr>
      </w:pPr>
      <w:r w:rsidRPr="002A3BDD">
        <w:rPr>
          <w:rStyle w:val="EndnoteReference"/>
          <w:rFonts w:cstheme="minorHAnsi"/>
          <w:color w:val="auto"/>
          <w:sz w:val="16"/>
          <w:szCs w:val="16"/>
        </w:rPr>
        <w:endnoteRef/>
      </w:r>
      <w:r w:rsidRPr="002A3BDD">
        <w:rPr>
          <w:rFonts w:cstheme="minorHAnsi"/>
          <w:color w:val="auto"/>
          <w:sz w:val="16"/>
          <w:szCs w:val="16"/>
          <w:lang w:val="en-GB"/>
        </w:rPr>
        <w:t xml:space="preserve"> </w:t>
      </w:r>
      <w:hyperlink r:id="rId39" w:history="1">
        <w:r w:rsidR="00A564F1" w:rsidRPr="002A3BDD">
          <w:rPr>
            <w:rStyle w:val="Hyperlink"/>
            <w:rFonts w:cstheme="minorHAnsi"/>
            <w:color w:val="auto"/>
            <w:sz w:val="16"/>
            <w:szCs w:val="16"/>
            <w:lang w:val="en-GB"/>
          </w:rPr>
          <w:t>https://www.rtr.at/rtr/publikationen/Kommunikationsbericht/RTR_Kommunikationsbericht_23_Engl.pdf</w:t>
        </w:r>
      </w:hyperlink>
    </w:p>
  </w:endnote>
  <w:endnote w:id="61">
    <w:p w14:paraId="59F7222C" w14:textId="35149D0C" w:rsidR="000725E6" w:rsidRPr="002A3BDD" w:rsidRDefault="000725E6" w:rsidP="000725E6">
      <w:pPr>
        <w:pStyle w:val="EndnoteText"/>
        <w:rPr>
          <w:rFonts w:cstheme="minorHAnsi"/>
          <w:color w:val="auto"/>
          <w:sz w:val="16"/>
          <w:szCs w:val="16"/>
          <w:lang w:val="en-GB"/>
        </w:rPr>
      </w:pPr>
      <w:r w:rsidRPr="002A3BDD">
        <w:rPr>
          <w:rStyle w:val="EndnoteReference"/>
          <w:rFonts w:cstheme="minorHAnsi"/>
          <w:color w:val="auto"/>
          <w:sz w:val="16"/>
          <w:szCs w:val="16"/>
        </w:rPr>
        <w:endnoteRef/>
      </w:r>
      <w:r w:rsidRPr="002A3BDD">
        <w:rPr>
          <w:rFonts w:cstheme="minorHAnsi"/>
          <w:color w:val="auto"/>
          <w:sz w:val="16"/>
          <w:szCs w:val="16"/>
          <w:lang w:val="en-GB"/>
        </w:rPr>
        <w:t xml:space="preserve"> https://eur-lex.europa.eu/resource.html?uri=cellar:03b1958e-b362-11ed-8912-01aa75ed71a1.0001.02/DOC_1&amp;format=PDF</w:t>
      </w:r>
    </w:p>
  </w:endnote>
  <w:endnote w:id="62">
    <w:p w14:paraId="2636C8C6" w14:textId="686CFA95" w:rsidR="00F13D3A" w:rsidRPr="002A3BDD" w:rsidRDefault="00F13D3A" w:rsidP="00F13D3A">
      <w:pPr>
        <w:pStyle w:val="EndnoteText"/>
        <w:rPr>
          <w:rFonts w:cstheme="minorHAnsi"/>
          <w:color w:val="auto"/>
          <w:sz w:val="16"/>
          <w:szCs w:val="16"/>
          <w:lang w:val="en-GB"/>
        </w:rPr>
      </w:pPr>
      <w:r w:rsidRPr="002A3BDD">
        <w:rPr>
          <w:rStyle w:val="EndnoteReference"/>
          <w:rFonts w:cstheme="minorHAnsi"/>
          <w:color w:val="auto"/>
          <w:sz w:val="16"/>
          <w:szCs w:val="16"/>
        </w:rPr>
        <w:endnoteRef/>
      </w:r>
      <w:r w:rsidRPr="002A3BDD">
        <w:rPr>
          <w:rFonts w:cstheme="minorHAnsi"/>
          <w:color w:val="auto"/>
          <w:sz w:val="16"/>
          <w:szCs w:val="16"/>
          <w:lang w:val="en-GB"/>
        </w:rPr>
        <w:t xml:space="preserve"> </w:t>
      </w:r>
      <w:hyperlink r:id="rId40" w:history="1">
        <w:r w:rsidR="00A564F1" w:rsidRPr="002A3BDD">
          <w:rPr>
            <w:rStyle w:val="Hyperlink"/>
            <w:rFonts w:cstheme="minorHAnsi"/>
            <w:color w:val="auto"/>
            <w:sz w:val="16"/>
            <w:szCs w:val="16"/>
            <w:lang w:val="en-GB"/>
          </w:rPr>
          <w:t>https://www.oecd.org/content/dam/oecd/en/publications/reports/2024/11/oecd-digital-economy-outlook-2024-volume-2_9b2801fc/3adf705b-en.pdf</w:t>
        </w:r>
      </w:hyperlink>
    </w:p>
  </w:endnote>
  <w:endnote w:id="63">
    <w:p w14:paraId="7EE3EA22" w14:textId="7ABF1F86" w:rsidR="009610C2" w:rsidRPr="002A3BDD" w:rsidRDefault="009610C2" w:rsidP="009610C2">
      <w:pPr>
        <w:pStyle w:val="EndnoteText"/>
        <w:rPr>
          <w:rFonts w:cstheme="minorHAnsi"/>
          <w:color w:val="auto"/>
          <w:sz w:val="16"/>
          <w:szCs w:val="16"/>
          <w:lang w:val="en-GB"/>
        </w:rPr>
      </w:pPr>
      <w:r w:rsidRPr="002A3BDD">
        <w:rPr>
          <w:rStyle w:val="EndnoteReference"/>
          <w:rFonts w:cstheme="minorHAnsi"/>
          <w:color w:val="auto"/>
          <w:sz w:val="16"/>
          <w:szCs w:val="16"/>
        </w:rPr>
        <w:endnoteRef/>
      </w:r>
      <w:r w:rsidRPr="002A3BDD">
        <w:rPr>
          <w:rFonts w:cstheme="minorHAnsi"/>
          <w:color w:val="auto"/>
          <w:sz w:val="16"/>
          <w:szCs w:val="16"/>
          <w:lang w:val="en-GB"/>
        </w:rPr>
        <w:t xml:space="preserve"> </w:t>
      </w:r>
      <w:hyperlink r:id="rId41" w:history="1">
        <w:r w:rsidR="00A564F1" w:rsidRPr="002A3BDD">
          <w:rPr>
            <w:rStyle w:val="Hyperlink"/>
            <w:rFonts w:cstheme="minorHAnsi"/>
            <w:color w:val="auto"/>
            <w:sz w:val="16"/>
            <w:szCs w:val="16"/>
            <w:lang w:val="en-GB"/>
          </w:rPr>
          <w:t>https://www.umeaenergi.se/om-oss/robust-bredband</w:t>
        </w:r>
      </w:hyperlink>
    </w:p>
  </w:endnote>
  <w:endnote w:id="64">
    <w:p w14:paraId="1D98F4D4" w14:textId="0EDD0671" w:rsidR="001F5C4D" w:rsidRPr="002A3BDD" w:rsidRDefault="001F5C4D" w:rsidP="001F5C4D">
      <w:pPr>
        <w:pStyle w:val="EndnoteText"/>
        <w:rPr>
          <w:rFonts w:cstheme="minorHAnsi"/>
          <w:color w:val="auto"/>
          <w:sz w:val="16"/>
          <w:szCs w:val="16"/>
          <w:lang w:val="en-GB"/>
        </w:rPr>
      </w:pPr>
      <w:r w:rsidRPr="002A3BDD">
        <w:rPr>
          <w:rStyle w:val="EndnoteReference"/>
          <w:rFonts w:cstheme="minorHAnsi"/>
          <w:color w:val="auto"/>
          <w:sz w:val="16"/>
          <w:szCs w:val="16"/>
        </w:rPr>
        <w:endnoteRef/>
      </w:r>
      <w:r w:rsidRPr="002A3BDD">
        <w:rPr>
          <w:rFonts w:cstheme="minorHAnsi"/>
          <w:color w:val="auto"/>
          <w:sz w:val="16"/>
          <w:szCs w:val="16"/>
          <w:lang w:val="en-GB"/>
        </w:rPr>
        <w:t xml:space="preserve"> </w:t>
      </w:r>
      <w:hyperlink r:id="rId42" w:history="1">
        <w:r w:rsidR="00F61048" w:rsidRPr="002A3BDD">
          <w:rPr>
            <w:rStyle w:val="Hyperlink"/>
            <w:rFonts w:cstheme="minorHAnsi"/>
            <w:color w:val="auto"/>
            <w:sz w:val="16"/>
            <w:szCs w:val="16"/>
            <w:lang w:val="en-GB"/>
          </w:rPr>
          <w:t>https://www.stadtwerke-wolfsburg.de/aktuelles/pressemitteilungen/detail/mehr-glasfaserangebote-fuer-haushalte-in-und-um-wolfsburg-deutsche-glasfaser-und-wobcom-kooperieren</w:t>
        </w:r>
      </w:hyperlink>
    </w:p>
  </w:endnote>
  <w:endnote w:id="65">
    <w:p w14:paraId="4F17CEF3" w14:textId="4BB5AAC8" w:rsidR="00A95202" w:rsidRDefault="00A95202" w:rsidP="00A95202">
      <w:pPr>
        <w:pStyle w:val="EndnoteText"/>
      </w:pPr>
      <w:r w:rsidRPr="002A3BDD">
        <w:rPr>
          <w:rStyle w:val="EndnoteReference"/>
          <w:rFonts w:cstheme="minorHAnsi"/>
          <w:color w:val="auto"/>
          <w:sz w:val="16"/>
          <w:szCs w:val="16"/>
        </w:rPr>
        <w:endnoteRef/>
      </w:r>
      <w:r w:rsidRPr="002A3BDD">
        <w:rPr>
          <w:rFonts w:cstheme="minorHAnsi"/>
          <w:color w:val="auto"/>
          <w:sz w:val="16"/>
          <w:szCs w:val="16"/>
        </w:rPr>
        <w:t xml:space="preserve"> </w:t>
      </w:r>
      <w:hyperlink r:id="rId43" w:history="1">
        <w:r w:rsidRPr="002A3BDD">
          <w:rPr>
            <w:rStyle w:val="Hyperlink"/>
            <w:rFonts w:cstheme="minorHAnsi"/>
            <w:color w:val="auto"/>
            <w:sz w:val="16"/>
            <w:szCs w:val="16"/>
          </w:rPr>
          <w:t>https://www.glasfaser-muenster.de/glasfaser-kooperation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000" w:firstRow="0" w:lastRow="0" w:firstColumn="0" w:lastColumn="0" w:noHBand="0" w:noVBand="0"/>
    </w:tblPr>
    <w:tblGrid>
      <w:gridCol w:w="9084"/>
      <w:gridCol w:w="839"/>
    </w:tblGrid>
    <w:tr w:rsidR="00BF029E" w:rsidRPr="00DB29DB" w14:paraId="27BAED34" w14:textId="77777777" w:rsidTr="009F5390">
      <w:tc>
        <w:tcPr>
          <w:tcW w:w="4577" w:type="pct"/>
        </w:tcPr>
        <w:p w14:paraId="31DE5EEF" w14:textId="77777777" w:rsidR="009F5390" w:rsidRPr="00DB29DB" w:rsidRDefault="009F5390" w:rsidP="00F75994">
          <w:pPr>
            <w:pStyle w:val="Footer"/>
            <w:tabs>
              <w:tab w:val="left" w:pos="415"/>
              <w:tab w:val="right" w:pos="8777"/>
            </w:tabs>
            <w:ind w:right="87"/>
            <w:rPr>
              <w:szCs w:val="18"/>
            </w:rPr>
          </w:pPr>
        </w:p>
      </w:tc>
      <w:tc>
        <w:tcPr>
          <w:tcW w:w="423" w:type="pct"/>
          <w:vAlign w:val="bottom"/>
        </w:tcPr>
        <w:p w14:paraId="3AECC128" w14:textId="77777777" w:rsidR="009F5390" w:rsidRPr="00DB29DB" w:rsidRDefault="009F5390" w:rsidP="00F1191E">
          <w:pPr>
            <w:jc w:val="right"/>
          </w:pPr>
          <w:r w:rsidRPr="00DB29DB">
            <w:rPr>
              <w:rStyle w:val="PageNumber"/>
            </w:rPr>
            <w:fldChar w:fldCharType="begin"/>
          </w:r>
          <w:r w:rsidRPr="00DB29DB">
            <w:rPr>
              <w:rStyle w:val="PageNumber"/>
            </w:rPr>
            <w:instrText xml:space="preserve"> PAGE </w:instrText>
          </w:r>
          <w:r w:rsidRPr="00DB29DB">
            <w:rPr>
              <w:rStyle w:val="PageNumber"/>
            </w:rPr>
            <w:fldChar w:fldCharType="separate"/>
          </w:r>
          <w:r>
            <w:rPr>
              <w:rStyle w:val="PageNumber"/>
            </w:rPr>
            <w:t>6</w:t>
          </w:r>
          <w:r w:rsidRPr="00DB29DB">
            <w:rPr>
              <w:rStyle w:val="PageNumber"/>
            </w:rPr>
            <w:fldChar w:fldCharType="end"/>
          </w:r>
        </w:p>
      </w:tc>
    </w:tr>
  </w:tbl>
  <w:p w14:paraId="492ABD48" w14:textId="77777777" w:rsidR="004515AF" w:rsidRPr="00F1191E" w:rsidRDefault="00425E50" w:rsidP="00F1191E">
    <w:pPr>
      <w:jc w:val="right"/>
      <w:rPr>
        <w:color w:val="FFFFFF" w:themeColor="background1"/>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F4611" w14:textId="77777777" w:rsidR="00D47450" w:rsidRDefault="00D47450"/>
  </w:footnote>
  <w:footnote w:type="continuationSeparator" w:id="0">
    <w:p w14:paraId="00AB43C0" w14:textId="77777777" w:rsidR="00D47450" w:rsidRDefault="00D47450">
      <w:r>
        <w:continuationSeparator/>
      </w:r>
    </w:p>
  </w:footnote>
  <w:footnote w:type="continuationNotice" w:id="1">
    <w:p w14:paraId="157B2DB4" w14:textId="77777777" w:rsidR="00D47450" w:rsidRDefault="00D474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7E2D1" w14:textId="2772716F" w:rsidR="00FC33C7" w:rsidRDefault="00FC33C7" w:rsidP="00E04448">
    <w:pPr>
      <w:pStyle w:val="Header"/>
      <w:ind w:right="28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46A15" w14:textId="77777777" w:rsidR="004515AF" w:rsidRDefault="004515AF"/>
  <w:p w14:paraId="1DB65F3A" w14:textId="77777777" w:rsidR="004515AF" w:rsidRDefault="004515AF"/>
  <w:p w14:paraId="7870055D" w14:textId="77777777" w:rsidR="004515AF" w:rsidRDefault="004515AF"/>
  <w:p w14:paraId="7C8AC40E" w14:textId="77777777" w:rsidR="004515AF" w:rsidRDefault="004515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Look w:val="01E0" w:firstRow="1" w:lastRow="1" w:firstColumn="1" w:lastColumn="1" w:noHBand="0" w:noVBand="0"/>
    </w:tblPr>
    <w:tblGrid>
      <w:gridCol w:w="9923"/>
    </w:tblGrid>
    <w:tr w:rsidR="00615AC8" w:rsidRPr="0005430E" w14:paraId="1F6B60CE" w14:textId="77777777" w:rsidTr="009F5390">
      <w:tc>
        <w:tcPr>
          <w:tcW w:w="5000" w:type="pct"/>
        </w:tcPr>
        <w:p w14:paraId="264AD21D" w14:textId="69D99205" w:rsidR="009F5390" w:rsidRPr="0005430E" w:rsidRDefault="009F5390" w:rsidP="009F5390">
          <w:pPr>
            <w:jc w:val="right"/>
            <w:rPr>
              <w:sz w:val="20"/>
            </w:rPr>
          </w:pPr>
        </w:p>
      </w:tc>
    </w:tr>
  </w:tbl>
  <w:p w14:paraId="756D7023" w14:textId="48A57A3D" w:rsidR="004515AF" w:rsidRPr="00DB29DB" w:rsidRDefault="004515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27136"/>
    <w:multiLevelType w:val="multilevel"/>
    <w:tmpl w:val="DC70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34379"/>
    <w:multiLevelType w:val="hybridMultilevel"/>
    <w:tmpl w:val="C44AFF38"/>
    <w:lvl w:ilvl="0" w:tplc="E4DA31A4">
      <w:start w:val="6"/>
      <w:numFmt w:val="bullet"/>
      <w:lvlText w:val=""/>
      <w:lvlJc w:val="left"/>
      <w:pPr>
        <w:ind w:left="720" w:hanging="360"/>
      </w:pPr>
      <w:rPr>
        <w:rFonts w:ascii="Wingdings" w:eastAsiaTheme="minorEastAsia"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2E8762E"/>
    <w:multiLevelType w:val="hybridMultilevel"/>
    <w:tmpl w:val="C6D433D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59B17B8"/>
    <w:multiLevelType w:val="multilevel"/>
    <w:tmpl w:val="B6EADCF6"/>
    <w:lvl w:ilvl="0">
      <w:start w:val="1"/>
      <w:numFmt w:val="decimal"/>
      <w:pStyle w:val="TableNumberedlist"/>
      <w:lvlText w:val="%1."/>
      <w:lvlJc w:val="left"/>
      <w:pPr>
        <w:ind w:left="284" w:hanging="284"/>
      </w:pPr>
      <w:rPr>
        <w:rFonts w:ascii="Arial" w:hAnsi="Arial" w:hint="default"/>
        <w:b/>
        <w:i w:val="0"/>
        <w:color w:val="1774F5" w:themeColor="accent1"/>
        <w:sz w:val="17"/>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D25487A"/>
    <w:multiLevelType w:val="multilevel"/>
    <w:tmpl w:val="484CE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0773534"/>
    <w:multiLevelType w:val="multilevel"/>
    <w:tmpl w:val="775C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AF57BC"/>
    <w:multiLevelType w:val="hybridMultilevel"/>
    <w:tmpl w:val="178A67B0"/>
    <w:lvl w:ilvl="0" w:tplc="30DE2AAA">
      <w:start w:val="1"/>
      <w:numFmt w:val="bullet"/>
      <w:lvlText w:val=""/>
      <w:lvlJc w:val="left"/>
      <w:pPr>
        <w:ind w:left="1000" w:hanging="360"/>
      </w:pPr>
      <w:rPr>
        <w:rFonts w:ascii="Symbol" w:hAnsi="Symbol"/>
      </w:rPr>
    </w:lvl>
    <w:lvl w:ilvl="1" w:tplc="2BEAF49E">
      <w:start w:val="1"/>
      <w:numFmt w:val="bullet"/>
      <w:lvlText w:val=""/>
      <w:lvlJc w:val="left"/>
      <w:pPr>
        <w:ind w:left="1000" w:hanging="360"/>
      </w:pPr>
      <w:rPr>
        <w:rFonts w:ascii="Symbol" w:hAnsi="Symbol"/>
      </w:rPr>
    </w:lvl>
    <w:lvl w:ilvl="2" w:tplc="EA7ADD78">
      <w:start w:val="1"/>
      <w:numFmt w:val="bullet"/>
      <w:lvlText w:val=""/>
      <w:lvlJc w:val="left"/>
      <w:pPr>
        <w:ind w:left="1000" w:hanging="360"/>
      </w:pPr>
      <w:rPr>
        <w:rFonts w:ascii="Symbol" w:hAnsi="Symbol"/>
      </w:rPr>
    </w:lvl>
    <w:lvl w:ilvl="3" w:tplc="EE921F12">
      <w:start w:val="1"/>
      <w:numFmt w:val="bullet"/>
      <w:lvlText w:val=""/>
      <w:lvlJc w:val="left"/>
      <w:pPr>
        <w:ind w:left="1000" w:hanging="360"/>
      </w:pPr>
      <w:rPr>
        <w:rFonts w:ascii="Symbol" w:hAnsi="Symbol"/>
      </w:rPr>
    </w:lvl>
    <w:lvl w:ilvl="4" w:tplc="47DC27F6">
      <w:start w:val="1"/>
      <w:numFmt w:val="bullet"/>
      <w:lvlText w:val=""/>
      <w:lvlJc w:val="left"/>
      <w:pPr>
        <w:ind w:left="1000" w:hanging="360"/>
      </w:pPr>
      <w:rPr>
        <w:rFonts w:ascii="Symbol" w:hAnsi="Symbol"/>
      </w:rPr>
    </w:lvl>
    <w:lvl w:ilvl="5" w:tplc="528E94DE">
      <w:start w:val="1"/>
      <w:numFmt w:val="bullet"/>
      <w:lvlText w:val=""/>
      <w:lvlJc w:val="left"/>
      <w:pPr>
        <w:ind w:left="1000" w:hanging="360"/>
      </w:pPr>
      <w:rPr>
        <w:rFonts w:ascii="Symbol" w:hAnsi="Symbol"/>
      </w:rPr>
    </w:lvl>
    <w:lvl w:ilvl="6" w:tplc="92926D6E">
      <w:start w:val="1"/>
      <w:numFmt w:val="bullet"/>
      <w:lvlText w:val=""/>
      <w:lvlJc w:val="left"/>
      <w:pPr>
        <w:ind w:left="1000" w:hanging="360"/>
      </w:pPr>
      <w:rPr>
        <w:rFonts w:ascii="Symbol" w:hAnsi="Symbol"/>
      </w:rPr>
    </w:lvl>
    <w:lvl w:ilvl="7" w:tplc="A692CB8E">
      <w:start w:val="1"/>
      <w:numFmt w:val="bullet"/>
      <w:lvlText w:val=""/>
      <w:lvlJc w:val="left"/>
      <w:pPr>
        <w:ind w:left="1000" w:hanging="360"/>
      </w:pPr>
      <w:rPr>
        <w:rFonts w:ascii="Symbol" w:hAnsi="Symbol"/>
      </w:rPr>
    </w:lvl>
    <w:lvl w:ilvl="8" w:tplc="878C740E">
      <w:start w:val="1"/>
      <w:numFmt w:val="bullet"/>
      <w:lvlText w:val=""/>
      <w:lvlJc w:val="left"/>
      <w:pPr>
        <w:ind w:left="1000" w:hanging="360"/>
      </w:pPr>
      <w:rPr>
        <w:rFonts w:ascii="Symbol" w:hAnsi="Symbol"/>
      </w:rPr>
    </w:lvl>
  </w:abstractNum>
  <w:abstractNum w:abstractNumId="7" w15:restartNumberingAfterBreak="0">
    <w:nsid w:val="2C992393"/>
    <w:multiLevelType w:val="multilevel"/>
    <w:tmpl w:val="B2283616"/>
    <w:lvl w:ilvl="0">
      <w:start w:val="1"/>
      <w:numFmt w:val="bullet"/>
      <w:pStyle w:val="Bullet"/>
      <w:lvlText w:val="–"/>
      <w:lvlJc w:val="left"/>
      <w:pPr>
        <w:ind w:left="360" w:hanging="360"/>
      </w:pPr>
      <w:rPr>
        <w:rFonts w:ascii="Arial" w:hAnsi="Arial" w:hint="default"/>
        <w:color w:val="1774F5" w:themeColor="accent1"/>
        <w:sz w:val="20"/>
      </w:rPr>
    </w:lvl>
    <w:lvl w:ilvl="1">
      <w:start w:val="1"/>
      <w:numFmt w:val="bullet"/>
      <w:lvlText w:val="–"/>
      <w:lvlJc w:val="left"/>
      <w:pPr>
        <w:ind w:left="794" w:hanging="397"/>
      </w:pPr>
      <w:rPr>
        <w:rFonts w:ascii="Arial" w:hAnsi="Arial" w:hint="default"/>
      </w:rPr>
    </w:lvl>
    <w:lvl w:ilvl="2">
      <w:start w:val="1"/>
      <w:numFmt w:val="bullet"/>
      <w:lvlText w:val="–"/>
      <w:lvlJc w:val="left"/>
      <w:pPr>
        <w:ind w:left="1191" w:hanging="397"/>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015EC3"/>
    <w:multiLevelType w:val="multilevel"/>
    <w:tmpl w:val="58C4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E45F51"/>
    <w:multiLevelType w:val="hybridMultilevel"/>
    <w:tmpl w:val="EDF8EC68"/>
    <w:lvl w:ilvl="0" w:tplc="E05E045C">
      <w:start w:val="1"/>
      <w:numFmt w:val="bullet"/>
      <w:pStyle w:val="TableBulletLevel3"/>
      <w:lvlText w:val="-"/>
      <w:lvlJc w:val="left"/>
      <w:pPr>
        <w:ind w:left="2804" w:hanging="360"/>
      </w:pPr>
      <w:rPr>
        <w:rFonts w:ascii="Arial" w:hAnsi="Arial" w:hint="default"/>
        <w:color w:val="6CB0FF" w:themeColor="accent2"/>
      </w:rPr>
    </w:lvl>
    <w:lvl w:ilvl="1" w:tplc="08090003" w:tentative="1">
      <w:start w:val="1"/>
      <w:numFmt w:val="bullet"/>
      <w:lvlText w:val="o"/>
      <w:lvlJc w:val="left"/>
      <w:pPr>
        <w:ind w:left="3524" w:hanging="360"/>
      </w:pPr>
      <w:rPr>
        <w:rFonts w:ascii="Courier New" w:hAnsi="Courier New" w:cs="Courier New" w:hint="default"/>
      </w:rPr>
    </w:lvl>
    <w:lvl w:ilvl="2" w:tplc="08090005" w:tentative="1">
      <w:start w:val="1"/>
      <w:numFmt w:val="bullet"/>
      <w:lvlText w:val=""/>
      <w:lvlJc w:val="left"/>
      <w:pPr>
        <w:ind w:left="4244" w:hanging="360"/>
      </w:pPr>
      <w:rPr>
        <w:rFonts w:ascii="Wingdings" w:hAnsi="Wingdings" w:hint="default"/>
      </w:rPr>
    </w:lvl>
    <w:lvl w:ilvl="3" w:tplc="08090001" w:tentative="1">
      <w:start w:val="1"/>
      <w:numFmt w:val="bullet"/>
      <w:lvlText w:val=""/>
      <w:lvlJc w:val="left"/>
      <w:pPr>
        <w:ind w:left="4964" w:hanging="360"/>
      </w:pPr>
      <w:rPr>
        <w:rFonts w:ascii="Symbol" w:hAnsi="Symbol" w:hint="default"/>
      </w:rPr>
    </w:lvl>
    <w:lvl w:ilvl="4" w:tplc="08090003" w:tentative="1">
      <w:start w:val="1"/>
      <w:numFmt w:val="bullet"/>
      <w:lvlText w:val="o"/>
      <w:lvlJc w:val="left"/>
      <w:pPr>
        <w:ind w:left="5684" w:hanging="360"/>
      </w:pPr>
      <w:rPr>
        <w:rFonts w:ascii="Courier New" w:hAnsi="Courier New" w:cs="Courier New" w:hint="default"/>
      </w:rPr>
    </w:lvl>
    <w:lvl w:ilvl="5" w:tplc="08090005" w:tentative="1">
      <w:start w:val="1"/>
      <w:numFmt w:val="bullet"/>
      <w:lvlText w:val=""/>
      <w:lvlJc w:val="left"/>
      <w:pPr>
        <w:ind w:left="6404" w:hanging="360"/>
      </w:pPr>
      <w:rPr>
        <w:rFonts w:ascii="Wingdings" w:hAnsi="Wingdings" w:hint="default"/>
      </w:rPr>
    </w:lvl>
    <w:lvl w:ilvl="6" w:tplc="08090001" w:tentative="1">
      <w:start w:val="1"/>
      <w:numFmt w:val="bullet"/>
      <w:lvlText w:val=""/>
      <w:lvlJc w:val="left"/>
      <w:pPr>
        <w:ind w:left="7124" w:hanging="360"/>
      </w:pPr>
      <w:rPr>
        <w:rFonts w:ascii="Symbol" w:hAnsi="Symbol" w:hint="default"/>
      </w:rPr>
    </w:lvl>
    <w:lvl w:ilvl="7" w:tplc="08090003" w:tentative="1">
      <w:start w:val="1"/>
      <w:numFmt w:val="bullet"/>
      <w:lvlText w:val="o"/>
      <w:lvlJc w:val="left"/>
      <w:pPr>
        <w:ind w:left="7844" w:hanging="360"/>
      </w:pPr>
      <w:rPr>
        <w:rFonts w:ascii="Courier New" w:hAnsi="Courier New" w:cs="Courier New" w:hint="default"/>
      </w:rPr>
    </w:lvl>
    <w:lvl w:ilvl="8" w:tplc="08090005" w:tentative="1">
      <w:start w:val="1"/>
      <w:numFmt w:val="bullet"/>
      <w:lvlText w:val=""/>
      <w:lvlJc w:val="left"/>
      <w:pPr>
        <w:ind w:left="8564" w:hanging="360"/>
      </w:pPr>
      <w:rPr>
        <w:rFonts w:ascii="Wingdings" w:hAnsi="Wingdings" w:hint="default"/>
      </w:rPr>
    </w:lvl>
  </w:abstractNum>
  <w:abstractNum w:abstractNumId="10" w15:restartNumberingAfterBreak="0">
    <w:nsid w:val="37EB77E9"/>
    <w:multiLevelType w:val="multilevel"/>
    <w:tmpl w:val="CE00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AE24E8"/>
    <w:multiLevelType w:val="multilevel"/>
    <w:tmpl w:val="1A9E85B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0460C65"/>
    <w:multiLevelType w:val="multilevel"/>
    <w:tmpl w:val="6B32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F37C3B"/>
    <w:multiLevelType w:val="multilevel"/>
    <w:tmpl w:val="614C060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28F2EAF"/>
    <w:multiLevelType w:val="multilevel"/>
    <w:tmpl w:val="40C4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BE19D5"/>
    <w:multiLevelType w:val="multilevel"/>
    <w:tmpl w:val="887CA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353EB3"/>
    <w:multiLevelType w:val="hybridMultilevel"/>
    <w:tmpl w:val="68668D50"/>
    <w:lvl w:ilvl="0" w:tplc="B7F6D8DC">
      <w:start w:val="1"/>
      <w:numFmt w:val="bullet"/>
      <w:pStyle w:val="Bulletlevel2"/>
      <w:lvlText w:val="–"/>
      <w:lvlJc w:val="left"/>
      <w:pPr>
        <w:ind w:left="1117" w:hanging="360"/>
      </w:pPr>
      <w:rPr>
        <w:rFonts w:ascii="Arial" w:hAnsi="Arial" w:hint="default"/>
        <w:color w:val="6CB0FF" w:themeColor="accent2"/>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7" w15:restartNumberingAfterBreak="0">
    <w:nsid w:val="49F166F0"/>
    <w:multiLevelType w:val="multilevel"/>
    <w:tmpl w:val="9B8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18483F"/>
    <w:multiLevelType w:val="hybridMultilevel"/>
    <w:tmpl w:val="BA0AA5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BC46C5C"/>
    <w:multiLevelType w:val="hybridMultilevel"/>
    <w:tmpl w:val="3EF0ED3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DF0261D"/>
    <w:multiLevelType w:val="multilevel"/>
    <w:tmpl w:val="D09A288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2B19E7"/>
    <w:multiLevelType w:val="multilevel"/>
    <w:tmpl w:val="E708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AD4B01"/>
    <w:multiLevelType w:val="multilevel"/>
    <w:tmpl w:val="4C942CE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38B45A3"/>
    <w:multiLevelType w:val="multilevel"/>
    <w:tmpl w:val="65EA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1372E"/>
    <w:multiLevelType w:val="multilevel"/>
    <w:tmpl w:val="2036013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B5C3452"/>
    <w:multiLevelType w:val="hybridMultilevel"/>
    <w:tmpl w:val="BFAC9F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3C41CE8"/>
    <w:multiLevelType w:val="multilevel"/>
    <w:tmpl w:val="6B3A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F6BB6"/>
    <w:multiLevelType w:val="hybridMultilevel"/>
    <w:tmpl w:val="4F001C26"/>
    <w:lvl w:ilvl="0" w:tplc="57F825A4">
      <w:start w:val="1"/>
      <w:numFmt w:val="bullet"/>
      <w:pStyle w:val="TableBulletLevel2"/>
      <w:lvlText w:val="–"/>
      <w:lvlJc w:val="left"/>
      <w:pPr>
        <w:ind w:left="1004" w:hanging="360"/>
      </w:pPr>
      <w:rPr>
        <w:rFonts w:ascii="Arial" w:hAnsi="Arial" w:hint="default"/>
        <w:color w:val="6CB0FF" w:themeColor="accent2"/>
      </w:rPr>
    </w:lvl>
    <w:lvl w:ilvl="1" w:tplc="08090003" w:tentative="1">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695D700F"/>
    <w:multiLevelType w:val="multilevel"/>
    <w:tmpl w:val="5E0E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9B277F"/>
    <w:multiLevelType w:val="hybridMultilevel"/>
    <w:tmpl w:val="968264A6"/>
    <w:lvl w:ilvl="0" w:tplc="B6A08FD4">
      <w:start w:val="1"/>
      <w:numFmt w:val="decimal"/>
      <w:pStyle w:val="NumberedList"/>
      <w:lvlText w:val="%1."/>
      <w:lvlJc w:val="left"/>
      <w:pPr>
        <w:ind w:left="360" w:hanging="360"/>
      </w:pPr>
      <w:rPr>
        <w:rFonts w:ascii="Arial" w:hAnsi="Arial" w:hint="default"/>
        <w:b/>
        <w:i w:val="0"/>
        <w:color w:val="1774F5" w:themeColor="accent1"/>
        <w:sz w:val="17"/>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B961D57"/>
    <w:multiLevelType w:val="multilevel"/>
    <w:tmpl w:val="7908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E33074"/>
    <w:multiLevelType w:val="multilevel"/>
    <w:tmpl w:val="12EC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851F7"/>
    <w:multiLevelType w:val="multilevel"/>
    <w:tmpl w:val="62CA6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A74697"/>
    <w:multiLevelType w:val="multilevel"/>
    <w:tmpl w:val="80689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9E4D02"/>
    <w:multiLevelType w:val="multilevel"/>
    <w:tmpl w:val="1958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F742D6"/>
    <w:multiLevelType w:val="multilevel"/>
    <w:tmpl w:val="A6F0B270"/>
    <w:lvl w:ilvl="0">
      <w:start w:val="1"/>
      <w:numFmt w:val="bullet"/>
      <w:pStyle w:val="TableBullet"/>
      <w:lvlText w:val="–"/>
      <w:lvlJc w:val="left"/>
      <w:pPr>
        <w:ind w:left="360" w:hanging="360"/>
      </w:pPr>
      <w:rPr>
        <w:rFonts w:ascii="Arial" w:hAnsi="Arial" w:hint="default"/>
        <w:color w:val="1774F5" w:themeColor="accent1"/>
        <w:sz w:val="20"/>
        <w:szCs w:val="18"/>
      </w:rPr>
    </w:lvl>
    <w:lvl w:ilvl="1">
      <w:start w:val="1"/>
      <w:numFmt w:val="bullet"/>
      <w:lvlText w:val="–"/>
      <w:lvlJc w:val="left"/>
      <w:pPr>
        <w:tabs>
          <w:tab w:val="num" w:pos="1440"/>
        </w:tabs>
        <w:ind w:left="568" w:hanging="284"/>
      </w:pPr>
      <w:rPr>
        <w:rFonts w:ascii="Arial" w:hAnsi="Arial" w:hint="default"/>
      </w:rPr>
    </w:lvl>
    <w:lvl w:ilvl="2">
      <w:start w:val="1"/>
      <w:numFmt w:val="bullet"/>
      <w:lvlText w:val="–"/>
      <w:lvlJc w:val="left"/>
      <w:pPr>
        <w:tabs>
          <w:tab w:val="num" w:pos="2160"/>
        </w:tabs>
        <w:ind w:left="852" w:hanging="284"/>
      </w:pPr>
      <w:rPr>
        <w:rFonts w:ascii="Arial" w:hAnsi="Arial" w:hint="default"/>
      </w:rPr>
    </w:lvl>
    <w:lvl w:ilvl="3">
      <w:start w:val="1"/>
      <w:numFmt w:val="bullet"/>
      <w:lvlText w:val=""/>
      <w:lvlJc w:val="left"/>
      <w:pPr>
        <w:tabs>
          <w:tab w:val="num" w:pos="2880"/>
        </w:tabs>
        <w:ind w:left="1136" w:hanging="284"/>
      </w:pPr>
      <w:rPr>
        <w:rFonts w:ascii="Symbol" w:hAnsi="Symbol" w:hint="default"/>
      </w:rPr>
    </w:lvl>
    <w:lvl w:ilvl="4">
      <w:start w:val="1"/>
      <w:numFmt w:val="bullet"/>
      <w:lvlText w:val="o"/>
      <w:lvlJc w:val="left"/>
      <w:pPr>
        <w:tabs>
          <w:tab w:val="num" w:pos="3600"/>
        </w:tabs>
        <w:ind w:left="1420" w:hanging="284"/>
      </w:pPr>
      <w:rPr>
        <w:rFonts w:ascii="Courier New" w:hAnsi="Courier New" w:cs="Courier New" w:hint="default"/>
      </w:rPr>
    </w:lvl>
    <w:lvl w:ilvl="5">
      <w:start w:val="1"/>
      <w:numFmt w:val="bullet"/>
      <w:lvlText w:val=""/>
      <w:lvlJc w:val="left"/>
      <w:pPr>
        <w:tabs>
          <w:tab w:val="num" w:pos="4320"/>
        </w:tabs>
        <w:ind w:left="1704" w:hanging="284"/>
      </w:pPr>
      <w:rPr>
        <w:rFonts w:ascii="Wingdings" w:hAnsi="Wingdings" w:hint="default"/>
      </w:rPr>
    </w:lvl>
    <w:lvl w:ilvl="6">
      <w:start w:val="1"/>
      <w:numFmt w:val="bullet"/>
      <w:lvlText w:val=""/>
      <w:lvlJc w:val="left"/>
      <w:pPr>
        <w:tabs>
          <w:tab w:val="num" w:pos="5040"/>
        </w:tabs>
        <w:ind w:left="1988" w:hanging="284"/>
      </w:pPr>
      <w:rPr>
        <w:rFonts w:ascii="Symbol" w:hAnsi="Symbol" w:hint="default"/>
      </w:rPr>
    </w:lvl>
    <w:lvl w:ilvl="7">
      <w:start w:val="1"/>
      <w:numFmt w:val="bullet"/>
      <w:lvlText w:val="o"/>
      <w:lvlJc w:val="left"/>
      <w:pPr>
        <w:tabs>
          <w:tab w:val="num" w:pos="5760"/>
        </w:tabs>
        <w:ind w:left="2272" w:hanging="284"/>
      </w:pPr>
      <w:rPr>
        <w:rFonts w:ascii="Courier New" w:hAnsi="Courier New" w:cs="Courier New" w:hint="default"/>
      </w:rPr>
    </w:lvl>
    <w:lvl w:ilvl="8">
      <w:start w:val="1"/>
      <w:numFmt w:val="bullet"/>
      <w:lvlText w:val=""/>
      <w:lvlJc w:val="left"/>
      <w:pPr>
        <w:tabs>
          <w:tab w:val="num" w:pos="6480"/>
        </w:tabs>
        <w:ind w:left="2556" w:hanging="284"/>
      </w:pPr>
      <w:rPr>
        <w:rFonts w:ascii="Wingdings" w:hAnsi="Wingdings" w:hint="default"/>
      </w:rPr>
    </w:lvl>
  </w:abstractNum>
  <w:abstractNum w:abstractNumId="36" w15:restartNumberingAfterBreak="0">
    <w:nsid w:val="7B5B36E8"/>
    <w:multiLevelType w:val="hybridMultilevel"/>
    <w:tmpl w:val="448CFC70"/>
    <w:lvl w:ilvl="0" w:tplc="0FAA703C">
      <w:start w:val="1"/>
      <w:numFmt w:val="decimal"/>
      <w:lvlText w:val="%1."/>
      <w:lvlJc w:val="left"/>
      <w:pPr>
        <w:ind w:left="757" w:hanging="360"/>
      </w:pPr>
      <w:rPr>
        <w:rFonts w:hint="default"/>
      </w:rPr>
    </w:lvl>
    <w:lvl w:ilvl="1" w:tplc="20000019" w:tentative="1">
      <w:start w:val="1"/>
      <w:numFmt w:val="lowerLetter"/>
      <w:lvlText w:val="%2."/>
      <w:lvlJc w:val="left"/>
      <w:pPr>
        <w:ind w:left="1477" w:hanging="360"/>
      </w:pPr>
    </w:lvl>
    <w:lvl w:ilvl="2" w:tplc="2000001B" w:tentative="1">
      <w:start w:val="1"/>
      <w:numFmt w:val="lowerRoman"/>
      <w:lvlText w:val="%3."/>
      <w:lvlJc w:val="right"/>
      <w:pPr>
        <w:ind w:left="2197" w:hanging="180"/>
      </w:pPr>
    </w:lvl>
    <w:lvl w:ilvl="3" w:tplc="2000000F" w:tentative="1">
      <w:start w:val="1"/>
      <w:numFmt w:val="decimal"/>
      <w:lvlText w:val="%4."/>
      <w:lvlJc w:val="left"/>
      <w:pPr>
        <w:ind w:left="2917" w:hanging="360"/>
      </w:pPr>
    </w:lvl>
    <w:lvl w:ilvl="4" w:tplc="20000019" w:tentative="1">
      <w:start w:val="1"/>
      <w:numFmt w:val="lowerLetter"/>
      <w:lvlText w:val="%5."/>
      <w:lvlJc w:val="left"/>
      <w:pPr>
        <w:ind w:left="3637" w:hanging="360"/>
      </w:pPr>
    </w:lvl>
    <w:lvl w:ilvl="5" w:tplc="2000001B" w:tentative="1">
      <w:start w:val="1"/>
      <w:numFmt w:val="lowerRoman"/>
      <w:lvlText w:val="%6."/>
      <w:lvlJc w:val="right"/>
      <w:pPr>
        <w:ind w:left="4357" w:hanging="180"/>
      </w:pPr>
    </w:lvl>
    <w:lvl w:ilvl="6" w:tplc="2000000F" w:tentative="1">
      <w:start w:val="1"/>
      <w:numFmt w:val="decimal"/>
      <w:lvlText w:val="%7."/>
      <w:lvlJc w:val="left"/>
      <w:pPr>
        <w:ind w:left="5077" w:hanging="360"/>
      </w:pPr>
    </w:lvl>
    <w:lvl w:ilvl="7" w:tplc="20000019" w:tentative="1">
      <w:start w:val="1"/>
      <w:numFmt w:val="lowerLetter"/>
      <w:lvlText w:val="%8."/>
      <w:lvlJc w:val="left"/>
      <w:pPr>
        <w:ind w:left="5797" w:hanging="360"/>
      </w:pPr>
    </w:lvl>
    <w:lvl w:ilvl="8" w:tplc="2000001B" w:tentative="1">
      <w:start w:val="1"/>
      <w:numFmt w:val="lowerRoman"/>
      <w:lvlText w:val="%9."/>
      <w:lvlJc w:val="right"/>
      <w:pPr>
        <w:ind w:left="6517" w:hanging="180"/>
      </w:pPr>
    </w:lvl>
  </w:abstractNum>
  <w:abstractNum w:abstractNumId="37" w15:restartNumberingAfterBreak="0">
    <w:nsid w:val="7B647431"/>
    <w:multiLevelType w:val="multilevel"/>
    <w:tmpl w:val="B884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C57640"/>
    <w:multiLevelType w:val="multilevel"/>
    <w:tmpl w:val="851E4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1729F0"/>
    <w:multiLevelType w:val="hybridMultilevel"/>
    <w:tmpl w:val="9A485CE8"/>
    <w:lvl w:ilvl="0" w:tplc="B69E7440">
      <w:start w:val="1"/>
      <w:numFmt w:val="bullet"/>
      <w:pStyle w:val="Bulletlevel3"/>
      <w:lvlText w:val="-"/>
      <w:lvlJc w:val="left"/>
      <w:pPr>
        <w:ind w:left="1514" w:hanging="360"/>
      </w:pPr>
      <w:rPr>
        <w:rFonts w:ascii="Arial" w:hAnsi="Arial" w:hint="default"/>
        <w:color w:val="6CB0FF" w:themeColor="accent2"/>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num w:numId="1" w16cid:durableId="110563450">
    <w:abstractNumId w:val="7"/>
  </w:num>
  <w:num w:numId="2" w16cid:durableId="1809205054">
    <w:abstractNumId w:val="29"/>
  </w:num>
  <w:num w:numId="3" w16cid:durableId="643585651">
    <w:abstractNumId w:val="35"/>
  </w:num>
  <w:num w:numId="4" w16cid:durableId="1685860413">
    <w:abstractNumId w:val="3"/>
  </w:num>
  <w:num w:numId="5" w16cid:durableId="1852332754">
    <w:abstractNumId w:val="16"/>
  </w:num>
  <w:num w:numId="6" w16cid:durableId="913323940">
    <w:abstractNumId w:val="39"/>
  </w:num>
  <w:num w:numId="7" w16cid:durableId="145585756">
    <w:abstractNumId w:val="27"/>
  </w:num>
  <w:num w:numId="8" w16cid:durableId="453136027">
    <w:abstractNumId w:val="9"/>
  </w:num>
  <w:num w:numId="9" w16cid:durableId="1511482234">
    <w:abstractNumId w:val="34"/>
  </w:num>
  <w:num w:numId="10" w16cid:durableId="599871534">
    <w:abstractNumId w:val="14"/>
  </w:num>
  <w:num w:numId="11" w16cid:durableId="1522161367">
    <w:abstractNumId w:val="6"/>
  </w:num>
  <w:num w:numId="12" w16cid:durableId="295187869">
    <w:abstractNumId w:val="32"/>
  </w:num>
  <w:num w:numId="13" w16cid:durableId="2108036351">
    <w:abstractNumId w:val="38"/>
  </w:num>
  <w:num w:numId="14" w16cid:durableId="734595202">
    <w:abstractNumId w:val="12"/>
  </w:num>
  <w:num w:numId="15" w16cid:durableId="8454392">
    <w:abstractNumId w:val="5"/>
  </w:num>
  <w:num w:numId="16" w16cid:durableId="1997033972">
    <w:abstractNumId w:val="37"/>
  </w:num>
  <w:num w:numId="17" w16cid:durableId="2097290190">
    <w:abstractNumId w:val="26"/>
  </w:num>
  <w:num w:numId="18" w16cid:durableId="1871531864">
    <w:abstractNumId w:val="33"/>
  </w:num>
  <w:num w:numId="19" w16cid:durableId="1425035774">
    <w:abstractNumId w:val="10"/>
  </w:num>
  <w:num w:numId="20" w16cid:durableId="1066757216">
    <w:abstractNumId w:val="15"/>
  </w:num>
  <w:num w:numId="21" w16cid:durableId="139927846">
    <w:abstractNumId w:val="0"/>
  </w:num>
  <w:num w:numId="22" w16cid:durableId="1179153148">
    <w:abstractNumId w:val="4"/>
  </w:num>
  <w:num w:numId="23" w16cid:durableId="144007584">
    <w:abstractNumId w:val="22"/>
  </w:num>
  <w:num w:numId="24" w16cid:durableId="1628506137">
    <w:abstractNumId w:val="31"/>
  </w:num>
  <w:num w:numId="25" w16cid:durableId="115299479">
    <w:abstractNumId w:val="30"/>
  </w:num>
  <w:num w:numId="26" w16cid:durableId="858851968">
    <w:abstractNumId w:val="11"/>
  </w:num>
  <w:num w:numId="27" w16cid:durableId="2087022578">
    <w:abstractNumId w:val="21"/>
  </w:num>
  <w:num w:numId="28" w16cid:durableId="987975307">
    <w:abstractNumId w:val="13"/>
  </w:num>
  <w:num w:numId="29" w16cid:durableId="185406768">
    <w:abstractNumId w:val="36"/>
  </w:num>
  <w:num w:numId="30" w16cid:durableId="1636717257">
    <w:abstractNumId w:val="20"/>
  </w:num>
  <w:num w:numId="31" w16cid:durableId="280840914">
    <w:abstractNumId w:val="24"/>
  </w:num>
  <w:num w:numId="32" w16cid:durableId="1828785241">
    <w:abstractNumId w:val="2"/>
  </w:num>
  <w:num w:numId="33" w16cid:durableId="363404985">
    <w:abstractNumId w:val="19"/>
  </w:num>
  <w:num w:numId="34" w16cid:durableId="373962730">
    <w:abstractNumId w:val="18"/>
  </w:num>
  <w:num w:numId="35" w16cid:durableId="658464552">
    <w:abstractNumId w:val="25"/>
  </w:num>
  <w:num w:numId="36" w16cid:durableId="780954513">
    <w:abstractNumId w:val="1"/>
  </w:num>
  <w:num w:numId="37" w16cid:durableId="726684835">
    <w:abstractNumId w:val="28"/>
  </w:num>
  <w:num w:numId="38" w16cid:durableId="1981567380">
    <w:abstractNumId w:val="8"/>
  </w:num>
  <w:num w:numId="39" w16cid:durableId="40521621">
    <w:abstractNumId w:val="23"/>
  </w:num>
  <w:num w:numId="40" w16cid:durableId="1263756488">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9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33A"/>
    <w:rsid w:val="00000984"/>
    <w:rsid w:val="00000A3B"/>
    <w:rsid w:val="00000E24"/>
    <w:rsid w:val="0000147B"/>
    <w:rsid w:val="0000171C"/>
    <w:rsid w:val="0000185F"/>
    <w:rsid w:val="00001888"/>
    <w:rsid w:val="000018FD"/>
    <w:rsid w:val="00001F80"/>
    <w:rsid w:val="00002F4F"/>
    <w:rsid w:val="00003070"/>
    <w:rsid w:val="00003143"/>
    <w:rsid w:val="000038A7"/>
    <w:rsid w:val="00003AE0"/>
    <w:rsid w:val="00003D0F"/>
    <w:rsid w:val="00004E5F"/>
    <w:rsid w:val="00004E8E"/>
    <w:rsid w:val="00005339"/>
    <w:rsid w:val="00005C72"/>
    <w:rsid w:val="00006011"/>
    <w:rsid w:val="0000719C"/>
    <w:rsid w:val="0000783D"/>
    <w:rsid w:val="00007A09"/>
    <w:rsid w:val="0001046B"/>
    <w:rsid w:val="000104AE"/>
    <w:rsid w:val="0001081D"/>
    <w:rsid w:val="00010B51"/>
    <w:rsid w:val="00010E5F"/>
    <w:rsid w:val="00010ED6"/>
    <w:rsid w:val="00010EDD"/>
    <w:rsid w:val="000113CA"/>
    <w:rsid w:val="000113D8"/>
    <w:rsid w:val="0001184A"/>
    <w:rsid w:val="00011A99"/>
    <w:rsid w:val="00011C50"/>
    <w:rsid w:val="00012679"/>
    <w:rsid w:val="00012756"/>
    <w:rsid w:val="0001291A"/>
    <w:rsid w:val="000129D2"/>
    <w:rsid w:val="00012BB6"/>
    <w:rsid w:val="00012C62"/>
    <w:rsid w:val="00012DFD"/>
    <w:rsid w:val="00012E85"/>
    <w:rsid w:val="00012EB8"/>
    <w:rsid w:val="00012F49"/>
    <w:rsid w:val="000135C6"/>
    <w:rsid w:val="00013770"/>
    <w:rsid w:val="00013AF4"/>
    <w:rsid w:val="00013B7F"/>
    <w:rsid w:val="000141A6"/>
    <w:rsid w:val="000142E8"/>
    <w:rsid w:val="00014901"/>
    <w:rsid w:val="00014A69"/>
    <w:rsid w:val="00014B26"/>
    <w:rsid w:val="000150C5"/>
    <w:rsid w:val="0001551B"/>
    <w:rsid w:val="0001552E"/>
    <w:rsid w:val="00015AF8"/>
    <w:rsid w:val="00015B56"/>
    <w:rsid w:val="00015C3E"/>
    <w:rsid w:val="00015FE4"/>
    <w:rsid w:val="0001692E"/>
    <w:rsid w:val="00016AD3"/>
    <w:rsid w:val="00016CFE"/>
    <w:rsid w:val="00016E26"/>
    <w:rsid w:val="00016F35"/>
    <w:rsid w:val="000171D4"/>
    <w:rsid w:val="00017754"/>
    <w:rsid w:val="00017E30"/>
    <w:rsid w:val="000204ED"/>
    <w:rsid w:val="00020ADA"/>
    <w:rsid w:val="00020D55"/>
    <w:rsid w:val="00020DCF"/>
    <w:rsid w:val="000211D8"/>
    <w:rsid w:val="000212B2"/>
    <w:rsid w:val="00021600"/>
    <w:rsid w:val="000217D1"/>
    <w:rsid w:val="00021A30"/>
    <w:rsid w:val="00021F4A"/>
    <w:rsid w:val="000221CC"/>
    <w:rsid w:val="00022292"/>
    <w:rsid w:val="000222B4"/>
    <w:rsid w:val="00022509"/>
    <w:rsid w:val="00022C9A"/>
    <w:rsid w:val="00023C62"/>
    <w:rsid w:val="000243DC"/>
    <w:rsid w:val="00024429"/>
    <w:rsid w:val="00024D5E"/>
    <w:rsid w:val="00025133"/>
    <w:rsid w:val="00025B45"/>
    <w:rsid w:val="000266F1"/>
    <w:rsid w:val="00026819"/>
    <w:rsid w:val="0002714C"/>
    <w:rsid w:val="000278E7"/>
    <w:rsid w:val="00027927"/>
    <w:rsid w:val="00027B15"/>
    <w:rsid w:val="00027BB9"/>
    <w:rsid w:val="0003049D"/>
    <w:rsid w:val="0003054B"/>
    <w:rsid w:val="00030667"/>
    <w:rsid w:val="00030938"/>
    <w:rsid w:val="000310A6"/>
    <w:rsid w:val="00031A86"/>
    <w:rsid w:val="00031DC5"/>
    <w:rsid w:val="00032345"/>
    <w:rsid w:val="000327D7"/>
    <w:rsid w:val="0003302A"/>
    <w:rsid w:val="00034150"/>
    <w:rsid w:val="00034450"/>
    <w:rsid w:val="000346C1"/>
    <w:rsid w:val="000347EC"/>
    <w:rsid w:val="000348AA"/>
    <w:rsid w:val="00034AA3"/>
    <w:rsid w:val="00034C7D"/>
    <w:rsid w:val="00034CFB"/>
    <w:rsid w:val="00035090"/>
    <w:rsid w:val="0003541D"/>
    <w:rsid w:val="000356B0"/>
    <w:rsid w:val="00035A24"/>
    <w:rsid w:val="00035AE6"/>
    <w:rsid w:val="00035B56"/>
    <w:rsid w:val="00035DDE"/>
    <w:rsid w:val="000365B1"/>
    <w:rsid w:val="0003672B"/>
    <w:rsid w:val="00036792"/>
    <w:rsid w:val="00036BA7"/>
    <w:rsid w:val="00036E57"/>
    <w:rsid w:val="00037681"/>
    <w:rsid w:val="00037753"/>
    <w:rsid w:val="0003793A"/>
    <w:rsid w:val="00037FB9"/>
    <w:rsid w:val="00040108"/>
    <w:rsid w:val="000405A6"/>
    <w:rsid w:val="00040702"/>
    <w:rsid w:val="00040762"/>
    <w:rsid w:val="00040795"/>
    <w:rsid w:val="00041289"/>
    <w:rsid w:val="000412DE"/>
    <w:rsid w:val="000415CA"/>
    <w:rsid w:val="000419FF"/>
    <w:rsid w:val="00041F56"/>
    <w:rsid w:val="00041F7C"/>
    <w:rsid w:val="000422E3"/>
    <w:rsid w:val="00042AD8"/>
    <w:rsid w:val="00042D8F"/>
    <w:rsid w:val="00042EA6"/>
    <w:rsid w:val="00043315"/>
    <w:rsid w:val="00043752"/>
    <w:rsid w:val="00043E18"/>
    <w:rsid w:val="00043E3E"/>
    <w:rsid w:val="00044409"/>
    <w:rsid w:val="000446F1"/>
    <w:rsid w:val="00044900"/>
    <w:rsid w:val="0004496B"/>
    <w:rsid w:val="00044AFD"/>
    <w:rsid w:val="00044BAA"/>
    <w:rsid w:val="00044FEB"/>
    <w:rsid w:val="0004512D"/>
    <w:rsid w:val="000452CC"/>
    <w:rsid w:val="00045CD3"/>
    <w:rsid w:val="00045FF1"/>
    <w:rsid w:val="0004602C"/>
    <w:rsid w:val="000461AD"/>
    <w:rsid w:val="00046808"/>
    <w:rsid w:val="00046931"/>
    <w:rsid w:val="0004697D"/>
    <w:rsid w:val="000469C3"/>
    <w:rsid w:val="00046FAA"/>
    <w:rsid w:val="000475DE"/>
    <w:rsid w:val="00047783"/>
    <w:rsid w:val="00047DAD"/>
    <w:rsid w:val="00047FBC"/>
    <w:rsid w:val="00047FD3"/>
    <w:rsid w:val="0005019C"/>
    <w:rsid w:val="000506FB"/>
    <w:rsid w:val="00050A7A"/>
    <w:rsid w:val="00051364"/>
    <w:rsid w:val="000517AE"/>
    <w:rsid w:val="000517BA"/>
    <w:rsid w:val="00051930"/>
    <w:rsid w:val="00051B5B"/>
    <w:rsid w:val="00051D5B"/>
    <w:rsid w:val="00051E3F"/>
    <w:rsid w:val="00052DAF"/>
    <w:rsid w:val="00052EDE"/>
    <w:rsid w:val="00053800"/>
    <w:rsid w:val="000538AC"/>
    <w:rsid w:val="000539E5"/>
    <w:rsid w:val="00053B9A"/>
    <w:rsid w:val="00053CE9"/>
    <w:rsid w:val="00053E13"/>
    <w:rsid w:val="00053FB7"/>
    <w:rsid w:val="00054166"/>
    <w:rsid w:val="0005430E"/>
    <w:rsid w:val="000547B9"/>
    <w:rsid w:val="00054B5B"/>
    <w:rsid w:val="00054B82"/>
    <w:rsid w:val="00055664"/>
    <w:rsid w:val="00056115"/>
    <w:rsid w:val="000562CB"/>
    <w:rsid w:val="0005647F"/>
    <w:rsid w:val="000570E4"/>
    <w:rsid w:val="00057798"/>
    <w:rsid w:val="0005786F"/>
    <w:rsid w:val="00057B49"/>
    <w:rsid w:val="00057D49"/>
    <w:rsid w:val="00057D6C"/>
    <w:rsid w:val="000604C8"/>
    <w:rsid w:val="00060BD2"/>
    <w:rsid w:val="00060BDC"/>
    <w:rsid w:val="00060BE1"/>
    <w:rsid w:val="00060F8C"/>
    <w:rsid w:val="000612B9"/>
    <w:rsid w:val="000614A7"/>
    <w:rsid w:val="00061E9F"/>
    <w:rsid w:val="00062CBE"/>
    <w:rsid w:val="00063152"/>
    <w:rsid w:val="000631AE"/>
    <w:rsid w:val="0006337F"/>
    <w:rsid w:val="00063CEB"/>
    <w:rsid w:val="00064B6A"/>
    <w:rsid w:val="00064C5E"/>
    <w:rsid w:val="00064F29"/>
    <w:rsid w:val="000650E3"/>
    <w:rsid w:val="0006592E"/>
    <w:rsid w:val="00065CAC"/>
    <w:rsid w:val="0006638F"/>
    <w:rsid w:val="000667AC"/>
    <w:rsid w:val="0006689E"/>
    <w:rsid w:val="00070941"/>
    <w:rsid w:val="00070A50"/>
    <w:rsid w:val="00070B9C"/>
    <w:rsid w:val="00071011"/>
    <w:rsid w:val="00071196"/>
    <w:rsid w:val="00071A43"/>
    <w:rsid w:val="00071A7A"/>
    <w:rsid w:val="00071B22"/>
    <w:rsid w:val="00071B53"/>
    <w:rsid w:val="00071BFA"/>
    <w:rsid w:val="000720A0"/>
    <w:rsid w:val="0007235B"/>
    <w:rsid w:val="0007246B"/>
    <w:rsid w:val="000724B7"/>
    <w:rsid w:val="000725E6"/>
    <w:rsid w:val="00072E3D"/>
    <w:rsid w:val="000733F5"/>
    <w:rsid w:val="00073510"/>
    <w:rsid w:val="0007375A"/>
    <w:rsid w:val="00073979"/>
    <w:rsid w:val="00073F6D"/>
    <w:rsid w:val="0007435E"/>
    <w:rsid w:val="000743B4"/>
    <w:rsid w:val="000744F7"/>
    <w:rsid w:val="00074873"/>
    <w:rsid w:val="0007499C"/>
    <w:rsid w:val="00074B73"/>
    <w:rsid w:val="00074D67"/>
    <w:rsid w:val="00075261"/>
    <w:rsid w:val="00075714"/>
    <w:rsid w:val="00075C7F"/>
    <w:rsid w:val="00075F3B"/>
    <w:rsid w:val="00076A5D"/>
    <w:rsid w:val="00076FF6"/>
    <w:rsid w:val="000800F4"/>
    <w:rsid w:val="00080577"/>
    <w:rsid w:val="00081120"/>
    <w:rsid w:val="00081673"/>
    <w:rsid w:val="000816DE"/>
    <w:rsid w:val="00081A76"/>
    <w:rsid w:val="00081BBA"/>
    <w:rsid w:val="00081D7A"/>
    <w:rsid w:val="000826AC"/>
    <w:rsid w:val="000826BD"/>
    <w:rsid w:val="000827D0"/>
    <w:rsid w:val="00082B3A"/>
    <w:rsid w:val="0008374C"/>
    <w:rsid w:val="00083B53"/>
    <w:rsid w:val="000841B7"/>
    <w:rsid w:val="00084281"/>
    <w:rsid w:val="00085A81"/>
    <w:rsid w:val="0008630B"/>
    <w:rsid w:val="000867BE"/>
    <w:rsid w:val="0008693E"/>
    <w:rsid w:val="0008695E"/>
    <w:rsid w:val="00086A61"/>
    <w:rsid w:val="0008746E"/>
    <w:rsid w:val="000876AA"/>
    <w:rsid w:val="00087F17"/>
    <w:rsid w:val="00090078"/>
    <w:rsid w:val="000901B7"/>
    <w:rsid w:val="000901BA"/>
    <w:rsid w:val="0009060C"/>
    <w:rsid w:val="000907F9"/>
    <w:rsid w:val="00090D25"/>
    <w:rsid w:val="00090DAF"/>
    <w:rsid w:val="00091511"/>
    <w:rsid w:val="000915D8"/>
    <w:rsid w:val="000916C6"/>
    <w:rsid w:val="00091A13"/>
    <w:rsid w:val="0009215C"/>
    <w:rsid w:val="00092193"/>
    <w:rsid w:val="00092C98"/>
    <w:rsid w:val="00092CBC"/>
    <w:rsid w:val="0009368F"/>
    <w:rsid w:val="000936E8"/>
    <w:rsid w:val="000938A4"/>
    <w:rsid w:val="00093CF4"/>
    <w:rsid w:val="00093E5D"/>
    <w:rsid w:val="000941DC"/>
    <w:rsid w:val="00094305"/>
    <w:rsid w:val="00094608"/>
    <w:rsid w:val="000946E0"/>
    <w:rsid w:val="000949FB"/>
    <w:rsid w:val="00094FCD"/>
    <w:rsid w:val="00095237"/>
    <w:rsid w:val="000952EA"/>
    <w:rsid w:val="00095462"/>
    <w:rsid w:val="00095810"/>
    <w:rsid w:val="00095AD3"/>
    <w:rsid w:val="000962D4"/>
    <w:rsid w:val="0009696C"/>
    <w:rsid w:val="00096C1E"/>
    <w:rsid w:val="00096FBD"/>
    <w:rsid w:val="0009749E"/>
    <w:rsid w:val="000978D1"/>
    <w:rsid w:val="000A0001"/>
    <w:rsid w:val="000A0130"/>
    <w:rsid w:val="000A0A0D"/>
    <w:rsid w:val="000A0AFD"/>
    <w:rsid w:val="000A0BCB"/>
    <w:rsid w:val="000A0C56"/>
    <w:rsid w:val="000A0F3E"/>
    <w:rsid w:val="000A0FD2"/>
    <w:rsid w:val="000A1026"/>
    <w:rsid w:val="000A14BC"/>
    <w:rsid w:val="000A1894"/>
    <w:rsid w:val="000A1905"/>
    <w:rsid w:val="000A1DC7"/>
    <w:rsid w:val="000A1E23"/>
    <w:rsid w:val="000A1EBA"/>
    <w:rsid w:val="000A1F82"/>
    <w:rsid w:val="000A2005"/>
    <w:rsid w:val="000A2595"/>
    <w:rsid w:val="000A2714"/>
    <w:rsid w:val="000A2C95"/>
    <w:rsid w:val="000A331F"/>
    <w:rsid w:val="000A3750"/>
    <w:rsid w:val="000A3856"/>
    <w:rsid w:val="000A42D0"/>
    <w:rsid w:val="000A480B"/>
    <w:rsid w:val="000A4AD1"/>
    <w:rsid w:val="000A4FCE"/>
    <w:rsid w:val="000A505D"/>
    <w:rsid w:val="000A5612"/>
    <w:rsid w:val="000A5CAE"/>
    <w:rsid w:val="000A5F0A"/>
    <w:rsid w:val="000A5F66"/>
    <w:rsid w:val="000A6C27"/>
    <w:rsid w:val="000A7579"/>
    <w:rsid w:val="000A7582"/>
    <w:rsid w:val="000A75B4"/>
    <w:rsid w:val="000A7732"/>
    <w:rsid w:val="000A787B"/>
    <w:rsid w:val="000A79A0"/>
    <w:rsid w:val="000A7A29"/>
    <w:rsid w:val="000A7C46"/>
    <w:rsid w:val="000A7D31"/>
    <w:rsid w:val="000B0303"/>
    <w:rsid w:val="000B032A"/>
    <w:rsid w:val="000B0C4E"/>
    <w:rsid w:val="000B1069"/>
    <w:rsid w:val="000B19C9"/>
    <w:rsid w:val="000B1A9A"/>
    <w:rsid w:val="000B1E9E"/>
    <w:rsid w:val="000B2467"/>
    <w:rsid w:val="000B2598"/>
    <w:rsid w:val="000B2A44"/>
    <w:rsid w:val="000B3407"/>
    <w:rsid w:val="000B3530"/>
    <w:rsid w:val="000B3C80"/>
    <w:rsid w:val="000B4B0B"/>
    <w:rsid w:val="000B4F30"/>
    <w:rsid w:val="000B4FD1"/>
    <w:rsid w:val="000B5444"/>
    <w:rsid w:val="000B5601"/>
    <w:rsid w:val="000B5E4D"/>
    <w:rsid w:val="000B65D1"/>
    <w:rsid w:val="000B701B"/>
    <w:rsid w:val="000B7489"/>
    <w:rsid w:val="000B7875"/>
    <w:rsid w:val="000B7A9F"/>
    <w:rsid w:val="000B7EB2"/>
    <w:rsid w:val="000C015A"/>
    <w:rsid w:val="000C097D"/>
    <w:rsid w:val="000C0A01"/>
    <w:rsid w:val="000C0A77"/>
    <w:rsid w:val="000C0CAC"/>
    <w:rsid w:val="000C0E50"/>
    <w:rsid w:val="000C1734"/>
    <w:rsid w:val="000C1AB4"/>
    <w:rsid w:val="000C257D"/>
    <w:rsid w:val="000C2B36"/>
    <w:rsid w:val="000C2B71"/>
    <w:rsid w:val="000C2C30"/>
    <w:rsid w:val="000C307E"/>
    <w:rsid w:val="000C3413"/>
    <w:rsid w:val="000C365D"/>
    <w:rsid w:val="000C36EA"/>
    <w:rsid w:val="000C38F1"/>
    <w:rsid w:val="000C3E73"/>
    <w:rsid w:val="000C4056"/>
    <w:rsid w:val="000C4365"/>
    <w:rsid w:val="000C450E"/>
    <w:rsid w:val="000C506A"/>
    <w:rsid w:val="000C5A76"/>
    <w:rsid w:val="000C5BF3"/>
    <w:rsid w:val="000C5F96"/>
    <w:rsid w:val="000C5FF8"/>
    <w:rsid w:val="000C608E"/>
    <w:rsid w:val="000C649A"/>
    <w:rsid w:val="000C6E9A"/>
    <w:rsid w:val="000C724B"/>
    <w:rsid w:val="000C7AD6"/>
    <w:rsid w:val="000C7B06"/>
    <w:rsid w:val="000C7D92"/>
    <w:rsid w:val="000C7F4F"/>
    <w:rsid w:val="000D018F"/>
    <w:rsid w:val="000D073E"/>
    <w:rsid w:val="000D0C95"/>
    <w:rsid w:val="000D0DDA"/>
    <w:rsid w:val="000D128F"/>
    <w:rsid w:val="000D13DA"/>
    <w:rsid w:val="000D21E0"/>
    <w:rsid w:val="000D2544"/>
    <w:rsid w:val="000D2A87"/>
    <w:rsid w:val="000D2CC8"/>
    <w:rsid w:val="000D3422"/>
    <w:rsid w:val="000D3826"/>
    <w:rsid w:val="000D3A8B"/>
    <w:rsid w:val="000D3B8B"/>
    <w:rsid w:val="000D3E02"/>
    <w:rsid w:val="000D4372"/>
    <w:rsid w:val="000D452A"/>
    <w:rsid w:val="000D457C"/>
    <w:rsid w:val="000D466F"/>
    <w:rsid w:val="000D49BA"/>
    <w:rsid w:val="000D4B59"/>
    <w:rsid w:val="000D4B61"/>
    <w:rsid w:val="000D4EB8"/>
    <w:rsid w:val="000D5115"/>
    <w:rsid w:val="000D533A"/>
    <w:rsid w:val="000D59EE"/>
    <w:rsid w:val="000D67C9"/>
    <w:rsid w:val="000D6ACC"/>
    <w:rsid w:val="000D74FF"/>
    <w:rsid w:val="000D7646"/>
    <w:rsid w:val="000E0163"/>
    <w:rsid w:val="000E0269"/>
    <w:rsid w:val="000E02B0"/>
    <w:rsid w:val="000E0758"/>
    <w:rsid w:val="000E0997"/>
    <w:rsid w:val="000E0A10"/>
    <w:rsid w:val="000E0DDB"/>
    <w:rsid w:val="000E1C45"/>
    <w:rsid w:val="000E1F8C"/>
    <w:rsid w:val="000E234F"/>
    <w:rsid w:val="000E2A5E"/>
    <w:rsid w:val="000E2B53"/>
    <w:rsid w:val="000E2CEE"/>
    <w:rsid w:val="000E3874"/>
    <w:rsid w:val="000E3D47"/>
    <w:rsid w:val="000E4126"/>
    <w:rsid w:val="000E4192"/>
    <w:rsid w:val="000E4229"/>
    <w:rsid w:val="000E5020"/>
    <w:rsid w:val="000E505D"/>
    <w:rsid w:val="000E52DB"/>
    <w:rsid w:val="000E5957"/>
    <w:rsid w:val="000E5A3B"/>
    <w:rsid w:val="000E6365"/>
    <w:rsid w:val="000E66C0"/>
    <w:rsid w:val="000E673F"/>
    <w:rsid w:val="000E68DF"/>
    <w:rsid w:val="000E6AFF"/>
    <w:rsid w:val="000E703C"/>
    <w:rsid w:val="000E7749"/>
    <w:rsid w:val="000E781E"/>
    <w:rsid w:val="000E7AB8"/>
    <w:rsid w:val="000E7ADE"/>
    <w:rsid w:val="000E7D16"/>
    <w:rsid w:val="000F008A"/>
    <w:rsid w:val="000F05C0"/>
    <w:rsid w:val="000F07D1"/>
    <w:rsid w:val="000F092A"/>
    <w:rsid w:val="000F0984"/>
    <w:rsid w:val="000F0DE0"/>
    <w:rsid w:val="000F1038"/>
    <w:rsid w:val="000F1741"/>
    <w:rsid w:val="000F1867"/>
    <w:rsid w:val="000F1C89"/>
    <w:rsid w:val="000F1C8D"/>
    <w:rsid w:val="000F263F"/>
    <w:rsid w:val="000F2BBD"/>
    <w:rsid w:val="000F2C58"/>
    <w:rsid w:val="000F31B6"/>
    <w:rsid w:val="000F36F0"/>
    <w:rsid w:val="000F3894"/>
    <w:rsid w:val="000F3A5D"/>
    <w:rsid w:val="000F3EA1"/>
    <w:rsid w:val="000F47AF"/>
    <w:rsid w:val="000F48F8"/>
    <w:rsid w:val="000F49C8"/>
    <w:rsid w:val="000F555C"/>
    <w:rsid w:val="000F598B"/>
    <w:rsid w:val="000F5E5F"/>
    <w:rsid w:val="000F6110"/>
    <w:rsid w:val="000F6400"/>
    <w:rsid w:val="000F668D"/>
    <w:rsid w:val="000F6D30"/>
    <w:rsid w:val="000F6D5E"/>
    <w:rsid w:val="000F7540"/>
    <w:rsid w:val="000F789C"/>
    <w:rsid w:val="000F7FD1"/>
    <w:rsid w:val="0010031E"/>
    <w:rsid w:val="001003DF"/>
    <w:rsid w:val="00100CC9"/>
    <w:rsid w:val="00100D2B"/>
    <w:rsid w:val="00101DA0"/>
    <w:rsid w:val="00102254"/>
    <w:rsid w:val="00102329"/>
    <w:rsid w:val="0010253B"/>
    <w:rsid w:val="001030EB"/>
    <w:rsid w:val="00103712"/>
    <w:rsid w:val="00103ACF"/>
    <w:rsid w:val="00104001"/>
    <w:rsid w:val="00104EDC"/>
    <w:rsid w:val="00104F88"/>
    <w:rsid w:val="00105122"/>
    <w:rsid w:val="001054C9"/>
    <w:rsid w:val="001055B5"/>
    <w:rsid w:val="001056A2"/>
    <w:rsid w:val="0010597B"/>
    <w:rsid w:val="001060D6"/>
    <w:rsid w:val="001069D5"/>
    <w:rsid w:val="00106B35"/>
    <w:rsid w:val="00107D2F"/>
    <w:rsid w:val="0011079B"/>
    <w:rsid w:val="00110B46"/>
    <w:rsid w:val="00110E40"/>
    <w:rsid w:val="001110BD"/>
    <w:rsid w:val="001110C3"/>
    <w:rsid w:val="00111729"/>
    <w:rsid w:val="00111786"/>
    <w:rsid w:val="00111827"/>
    <w:rsid w:val="00111C49"/>
    <w:rsid w:val="001127B1"/>
    <w:rsid w:val="0011313B"/>
    <w:rsid w:val="001137C6"/>
    <w:rsid w:val="00113AF9"/>
    <w:rsid w:val="001147A0"/>
    <w:rsid w:val="001158F8"/>
    <w:rsid w:val="00115DFB"/>
    <w:rsid w:val="0011617B"/>
    <w:rsid w:val="00116319"/>
    <w:rsid w:val="00116A52"/>
    <w:rsid w:val="00116C0F"/>
    <w:rsid w:val="00116CE5"/>
    <w:rsid w:val="00116D79"/>
    <w:rsid w:val="00116DE7"/>
    <w:rsid w:val="00117847"/>
    <w:rsid w:val="00117A31"/>
    <w:rsid w:val="00120298"/>
    <w:rsid w:val="0012086C"/>
    <w:rsid w:val="00120949"/>
    <w:rsid w:val="00120EDC"/>
    <w:rsid w:val="00121167"/>
    <w:rsid w:val="0012162C"/>
    <w:rsid w:val="00121B05"/>
    <w:rsid w:val="00121C2D"/>
    <w:rsid w:val="00121C5D"/>
    <w:rsid w:val="00121CF4"/>
    <w:rsid w:val="00122317"/>
    <w:rsid w:val="00122685"/>
    <w:rsid w:val="00123DC5"/>
    <w:rsid w:val="001240EF"/>
    <w:rsid w:val="0012410E"/>
    <w:rsid w:val="0012422C"/>
    <w:rsid w:val="00124BA6"/>
    <w:rsid w:val="00125614"/>
    <w:rsid w:val="00126072"/>
    <w:rsid w:val="0012629E"/>
    <w:rsid w:val="001262DD"/>
    <w:rsid w:val="001264C7"/>
    <w:rsid w:val="001266C8"/>
    <w:rsid w:val="001268F9"/>
    <w:rsid w:val="00126B05"/>
    <w:rsid w:val="00126F7D"/>
    <w:rsid w:val="001271DA"/>
    <w:rsid w:val="001272D4"/>
    <w:rsid w:val="001277DF"/>
    <w:rsid w:val="001278BC"/>
    <w:rsid w:val="00127945"/>
    <w:rsid w:val="00127D2D"/>
    <w:rsid w:val="00127E78"/>
    <w:rsid w:val="00130088"/>
    <w:rsid w:val="0013008A"/>
    <w:rsid w:val="001303C0"/>
    <w:rsid w:val="00130920"/>
    <w:rsid w:val="001310A2"/>
    <w:rsid w:val="0013162A"/>
    <w:rsid w:val="0013259E"/>
    <w:rsid w:val="0013265C"/>
    <w:rsid w:val="00132869"/>
    <w:rsid w:val="00132880"/>
    <w:rsid w:val="00133447"/>
    <w:rsid w:val="00133978"/>
    <w:rsid w:val="00133DA5"/>
    <w:rsid w:val="0013433E"/>
    <w:rsid w:val="00134624"/>
    <w:rsid w:val="0013468D"/>
    <w:rsid w:val="00134A2D"/>
    <w:rsid w:val="00134ABD"/>
    <w:rsid w:val="00135311"/>
    <w:rsid w:val="0013594F"/>
    <w:rsid w:val="00135D91"/>
    <w:rsid w:val="001365EF"/>
    <w:rsid w:val="0013663C"/>
    <w:rsid w:val="001367BE"/>
    <w:rsid w:val="00136B4D"/>
    <w:rsid w:val="00136BA5"/>
    <w:rsid w:val="00136CB6"/>
    <w:rsid w:val="00136F0B"/>
    <w:rsid w:val="00137109"/>
    <w:rsid w:val="001374B3"/>
    <w:rsid w:val="001379B9"/>
    <w:rsid w:val="00137C66"/>
    <w:rsid w:val="00140473"/>
    <w:rsid w:val="001406E2"/>
    <w:rsid w:val="00140E8D"/>
    <w:rsid w:val="00140EDC"/>
    <w:rsid w:val="00140F76"/>
    <w:rsid w:val="00141127"/>
    <w:rsid w:val="0014123E"/>
    <w:rsid w:val="00141277"/>
    <w:rsid w:val="001417C7"/>
    <w:rsid w:val="00141C9D"/>
    <w:rsid w:val="00141D52"/>
    <w:rsid w:val="001423C2"/>
    <w:rsid w:val="0014244D"/>
    <w:rsid w:val="0014253B"/>
    <w:rsid w:val="001426AB"/>
    <w:rsid w:val="001426E2"/>
    <w:rsid w:val="00142BC0"/>
    <w:rsid w:val="00143188"/>
    <w:rsid w:val="001431AC"/>
    <w:rsid w:val="00143228"/>
    <w:rsid w:val="00143534"/>
    <w:rsid w:val="00143594"/>
    <w:rsid w:val="00143A29"/>
    <w:rsid w:val="001443A2"/>
    <w:rsid w:val="001446AF"/>
    <w:rsid w:val="001446FD"/>
    <w:rsid w:val="001447E9"/>
    <w:rsid w:val="00144819"/>
    <w:rsid w:val="00144A49"/>
    <w:rsid w:val="00144A82"/>
    <w:rsid w:val="00144C52"/>
    <w:rsid w:val="00144DD2"/>
    <w:rsid w:val="0014516B"/>
    <w:rsid w:val="0014526A"/>
    <w:rsid w:val="001455D7"/>
    <w:rsid w:val="0014596C"/>
    <w:rsid w:val="00145F15"/>
    <w:rsid w:val="001469FB"/>
    <w:rsid w:val="00147742"/>
    <w:rsid w:val="0014788D"/>
    <w:rsid w:val="001479DC"/>
    <w:rsid w:val="00147A17"/>
    <w:rsid w:val="001501F3"/>
    <w:rsid w:val="001509E1"/>
    <w:rsid w:val="00150F6C"/>
    <w:rsid w:val="00151292"/>
    <w:rsid w:val="001514E2"/>
    <w:rsid w:val="0015220B"/>
    <w:rsid w:val="0015222B"/>
    <w:rsid w:val="001525C0"/>
    <w:rsid w:val="00152744"/>
    <w:rsid w:val="00152B7E"/>
    <w:rsid w:val="00152EBF"/>
    <w:rsid w:val="00152F17"/>
    <w:rsid w:val="00153B2A"/>
    <w:rsid w:val="00153EA6"/>
    <w:rsid w:val="001541C1"/>
    <w:rsid w:val="00154253"/>
    <w:rsid w:val="0015435E"/>
    <w:rsid w:val="0015456F"/>
    <w:rsid w:val="001545B1"/>
    <w:rsid w:val="00154DD7"/>
    <w:rsid w:val="00154E20"/>
    <w:rsid w:val="001550F7"/>
    <w:rsid w:val="00155396"/>
    <w:rsid w:val="001554FD"/>
    <w:rsid w:val="00155772"/>
    <w:rsid w:val="00155B29"/>
    <w:rsid w:val="00155B93"/>
    <w:rsid w:val="00155E39"/>
    <w:rsid w:val="001563E0"/>
    <w:rsid w:val="001566DD"/>
    <w:rsid w:val="00156ECB"/>
    <w:rsid w:val="00156F31"/>
    <w:rsid w:val="001570E8"/>
    <w:rsid w:val="001575F5"/>
    <w:rsid w:val="001575F9"/>
    <w:rsid w:val="0015785A"/>
    <w:rsid w:val="00157CC6"/>
    <w:rsid w:val="001602D7"/>
    <w:rsid w:val="00160CD7"/>
    <w:rsid w:val="00160D41"/>
    <w:rsid w:val="00160DD7"/>
    <w:rsid w:val="001612BF"/>
    <w:rsid w:val="00161B74"/>
    <w:rsid w:val="00161CBA"/>
    <w:rsid w:val="0016219C"/>
    <w:rsid w:val="00162D18"/>
    <w:rsid w:val="00162FDF"/>
    <w:rsid w:val="00163100"/>
    <w:rsid w:val="0016396E"/>
    <w:rsid w:val="00164AB5"/>
    <w:rsid w:val="00164DAD"/>
    <w:rsid w:val="00164DDA"/>
    <w:rsid w:val="001654B5"/>
    <w:rsid w:val="00165690"/>
    <w:rsid w:val="00165914"/>
    <w:rsid w:val="00165A51"/>
    <w:rsid w:val="00165A87"/>
    <w:rsid w:val="00165D22"/>
    <w:rsid w:val="0016791B"/>
    <w:rsid w:val="00167AFF"/>
    <w:rsid w:val="00167B09"/>
    <w:rsid w:val="00170CCC"/>
    <w:rsid w:val="00171335"/>
    <w:rsid w:val="00171CB9"/>
    <w:rsid w:val="00171EA0"/>
    <w:rsid w:val="00173507"/>
    <w:rsid w:val="001735EA"/>
    <w:rsid w:val="00173AC9"/>
    <w:rsid w:val="0017447A"/>
    <w:rsid w:val="00174489"/>
    <w:rsid w:val="00174579"/>
    <w:rsid w:val="0017484A"/>
    <w:rsid w:val="0017495F"/>
    <w:rsid w:val="00174D2C"/>
    <w:rsid w:val="00174EDB"/>
    <w:rsid w:val="00174F98"/>
    <w:rsid w:val="001758E3"/>
    <w:rsid w:val="0017607D"/>
    <w:rsid w:val="001762F7"/>
    <w:rsid w:val="00176598"/>
    <w:rsid w:val="0017668B"/>
    <w:rsid w:val="00177545"/>
    <w:rsid w:val="00177CE0"/>
    <w:rsid w:val="00180089"/>
    <w:rsid w:val="001802E8"/>
    <w:rsid w:val="001805A5"/>
    <w:rsid w:val="001805C5"/>
    <w:rsid w:val="0018063F"/>
    <w:rsid w:val="00180781"/>
    <w:rsid w:val="00180905"/>
    <w:rsid w:val="0018097B"/>
    <w:rsid w:val="001817AF"/>
    <w:rsid w:val="00181FD4"/>
    <w:rsid w:val="001823FE"/>
    <w:rsid w:val="001827B7"/>
    <w:rsid w:val="00182A41"/>
    <w:rsid w:val="00182CA3"/>
    <w:rsid w:val="00182FE8"/>
    <w:rsid w:val="00183495"/>
    <w:rsid w:val="00183BDE"/>
    <w:rsid w:val="00184534"/>
    <w:rsid w:val="00184973"/>
    <w:rsid w:val="00185176"/>
    <w:rsid w:val="001856B2"/>
    <w:rsid w:val="00185A7E"/>
    <w:rsid w:val="00185C6D"/>
    <w:rsid w:val="0018638A"/>
    <w:rsid w:val="00186528"/>
    <w:rsid w:val="00186730"/>
    <w:rsid w:val="00186B9B"/>
    <w:rsid w:val="00186DC4"/>
    <w:rsid w:val="00186EDF"/>
    <w:rsid w:val="00187192"/>
    <w:rsid w:val="00187294"/>
    <w:rsid w:val="0018749A"/>
    <w:rsid w:val="00187604"/>
    <w:rsid w:val="0018760F"/>
    <w:rsid w:val="00187A72"/>
    <w:rsid w:val="00187F95"/>
    <w:rsid w:val="001904D0"/>
    <w:rsid w:val="0019077F"/>
    <w:rsid w:val="00191059"/>
    <w:rsid w:val="001910AE"/>
    <w:rsid w:val="001916F8"/>
    <w:rsid w:val="0019179E"/>
    <w:rsid w:val="001919EF"/>
    <w:rsid w:val="00191EDA"/>
    <w:rsid w:val="001920DC"/>
    <w:rsid w:val="00192589"/>
    <w:rsid w:val="00192925"/>
    <w:rsid w:val="001929DB"/>
    <w:rsid w:val="00192DCA"/>
    <w:rsid w:val="00192F0A"/>
    <w:rsid w:val="00193112"/>
    <w:rsid w:val="0019364B"/>
    <w:rsid w:val="00193962"/>
    <w:rsid w:val="00193E78"/>
    <w:rsid w:val="00193F3D"/>
    <w:rsid w:val="00194615"/>
    <w:rsid w:val="00194DF5"/>
    <w:rsid w:val="001959CD"/>
    <w:rsid w:val="00195F14"/>
    <w:rsid w:val="00196E1F"/>
    <w:rsid w:val="0019712C"/>
    <w:rsid w:val="001977ED"/>
    <w:rsid w:val="0019799A"/>
    <w:rsid w:val="00197E88"/>
    <w:rsid w:val="001A0255"/>
    <w:rsid w:val="001A0799"/>
    <w:rsid w:val="001A0BA3"/>
    <w:rsid w:val="001A0C74"/>
    <w:rsid w:val="001A0E0C"/>
    <w:rsid w:val="001A111D"/>
    <w:rsid w:val="001A1192"/>
    <w:rsid w:val="001A12C2"/>
    <w:rsid w:val="001A2123"/>
    <w:rsid w:val="001A2770"/>
    <w:rsid w:val="001A2A1F"/>
    <w:rsid w:val="001A2E7B"/>
    <w:rsid w:val="001A33CF"/>
    <w:rsid w:val="001A3690"/>
    <w:rsid w:val="001A3B97"/>
    <w:rsid w:val="001A3CA5"/>
    <w:rsid w:val="001A4671"/>
    <w:rsid w:val="001A50B5"/>
    <w:rsid w:val="001A5949"/>
    <w:rsid w:val="001A7104"/>
    <w:rsid w:val="001A7138"/>
    <w:rsid w:val="001A75E5"/>
    <w:rsid w:val="001A7B94"/>
    <w:rsid w:val="001A7DB2"/>
    <w:rsid w:val="001A7FB5"/>
    <w:rsid w:val="001B02F2"/>
    <w:rsid w:val="001B0374"/>
    <w:rsid w:val="001B0B04"/>
    <w:rsid w:val="001B0C3A"/>
    <w:rsid w:val="001B0C8A"/>
    <w:rsid w:val="001B0CD8"/>
    <w:rsid w:val="001B19D2"/>
    <w:rsid w:val="001B220C"/>
    <w:rsid w:val="001B2394"/>
    <w:rsid w:val="001B25F4"/>
    <w:rsid w:val="001B274A"/>
    <w:rsid w:val="001B27FE"/>
    <w:rsid w:val="001B2874"/>
    <w:rsid w:val="001B28DF"/>
    <w:rsid w:val="001B2C73"/>
    <w:rsid w:val="001B330F"/>
    <w:rsid w:val="001B33C3"/>
    <w:rsid w:val="001B3666"/>
    <w:rsid w:val="001B367A"/>
    <w:rsid w:val="001B40BD"/>
    <w:rsid w:val="001B4A2C"/>
    <w:rsid w:val="001B529A"/>
    <w:rsid w:val="001B5AF0"/>
    <w:rsid w:val="001B5F88"/>
    <w:rsid w:val="001B67D7"/>
    <w:rsid w:val="001B7626"/>
    <w:rsid w:val="001B78B4"/>
    <w:rsid w:val="001B7C90"/>
    <w:rsid w:val="001C03A3"/>
    <w:rsid w:val="001C0523"/>
    <w:rsid w:val="001C0623"/>
    <w:rsid w:val="001C06BC"/>
    <w:rsid w:val="001C0716"/>
    <w:rsid w:val="001C0EDC"/>
    <w:rsid w:val="001C1154"/>
    <w:rsid w:val="001C1436"/>
    <w:rsid w:val="001C1D19"/>
    <w:rsid w:val="001C20CE"/>
    <w:rsid w:val="001C2B29"/>
    <w:rsid w:val="001C2B97"/>
    <w:rsid w:val="001C2D51"/>
    <w:rsid w:val="001C34BF"/>
    <w:rsid w:val="001C3633"/>
    <w:rsid w:val="001C3DAA"/>
    <w:rsid w:val="001C4151"/>
    <w:rsid w:val="001C47FD"/>
    <w:rsid w:val="001C48E9"/>
    <w:rsid w:val="001C4A36"/>
    <w:rsid w:val="001C53F0"/>
    <w:rsid w:val="001C5E2D"/>
    <w:rsid w:val="001C61F0"/>
    <w:rsid w:val="001C66D4"/>
    <w:rsid w:val="001C6F82"/>
    <w:rsid w:val="001C725D"/>
    <w:rsid w:val="001C7961"/>
    <w:rsid w:val="001C7B64"/>
    <w:rsid w:val="001C7D3A"/>
    <w:rsid w:val="001D03E7"/>
    <w:rsid w:val="001D0780"/>
    <w:rsid w:val="001D0EDC"/>
    <w:rsid w:val="001D1266"/>
    <w:rsid w:val="001D15B5"/>
    <w:rsid w:val="001D15D8"/>
    <w:rsid w:val="001D1718"/>
    <w:rsid w:val="001D19E9"/>
    <w:rsid w:val="001D1ABE"/>
    <w:rsid w:val="001D1F34"/>
    <w:rsid w:val="001D20FB"/>
    <w:rsid w:val="001D36DB"/>
    <w:rsid w:val="001D374F"/>
    <w:rsid w:val="001D3A59"/>
    <w:rsid w:val="001D3E6E"/>
    <w:rsid w:val="001D4820"/>
    <w:rsid w:val="001D5171"/>
    <w:rsid w:val="001D540A"/>
    <w:rsid w:val="001D55BF"/>
    <w:rsid w:val="001D5816"/>
    <w:rsid w:val="001D5C1D"/>
    <w:rsid w:val="001D611F"/>
    <w:rsid w:val="001D6186"/>
    <w:rsid w:val="001D695C"/>
    <w:rsid w:val="001D6BC8"/>
    <w:rsid w:val="001D713E"/>
    <w:rsid w:val="001D762D"/>
    <w:rsid w:val="001D7BA5"/>
    <w:rsid w:val="001D7DEE"/>
    <w:rsid w:val="001E00C9"/>
    <w:rsid w:val="001E03D9"/>
    <w:rsid w:val="001E0C18"/>
    <w:rsid w:val="001E0F2D"/>
    <w:rsid w:val="001E1001"/>
    <w:rsid w:val="001E117B"/>
    <w:rsid w:val="001E12BF"/>
    <w:rsid w:val="001E179B"/>
    <w:rsid w:val="001E18B3"/>
    <w:rsid w:val="001E21DD"/>
    <w:rsid w:val="001E344E"/>
    <w:rsid w:val="001E36E4"/>
    <w:rsid w:val="001E36FD"/>
    <w:rsid w:val="001E3711"/>
    <w:rsid w:val="001E3900"/>
    <w:rsid w:val="001E397D"/>
    <w:rsid w:val="001E3F10"/>
    <w:rsid w:val="001E3F82"/>
    <w:rsid w:val="001E4164"/>
    <w:rsid w:val="001E46C6"/>
    <w:rsid w:val="001E5288"/>
    <w:rsid w:val="001E58B0"/>
    <w:rsid w:val="001E5A6B"/>
    <w:rsid w:val="001E5AFB"/>
    <w:rsid w:val="001E5CFD"/>
    <w:rsid w:val="001E6237"/>
    <w:rsid w:val="001E6490"/>
    <w:rsid w:val="001E64B5"/>
    <w:rsid w:val="001E6668"/>
    <w:rsid w:val="001E6AE2"/>
    <w:rsid w:val="001E6B05"/>
    <w:rsid w:val="001E6E62"/>
    <w:rsid w:val="001E6FD8"/>
    <w:rsid w:val="001E74A4"/>
    <w:rsid w:val="001E7535"/>
    <w:rsid w:val="001E758F"/>
    <w:rsid w:val="001E7854"/>
    <w:rsid w:val="001E7B5E"/>
    <w:rsid w:val="001E7ECA"/>
    <w:rsid w:val="001E7EF9"/>
    <w:rsid w:val="001F069C"/>
    <w:rsid w:val="001F232D"/>
    <w:rsid w:val="001F284D"/>
    <w:rsid w:val="001F2A77"/>
    <w:rsid w:val="001F2C08"/>
    <w:rsid w:val="001F2E08"/>
    <w:rsid w:val="001F3096"/>
    <w:rsid w:val="001F355D"/>
    <w:rsid w:val="001F3A15"/>
    <w:rsid w:val="001F3CC0"/>
    <w:rsid w:val="001F4028"/>
    <w:rsid w:val="001F4179"/>
    <w:rsid w:val="001F41F8"/>
    <w:rsid w:val="001F427F"/>
    <w:rsid w:val="001F51C2"/>
    <w:rsid w:val="001F5C4D"/>
    <w:rsid w:val="001F5FDB"/>
    <w:rsid w:val="001F69F5"/>
    <w:rsid w:val="001F715B"/>
    <w:rsid w:val="001F77BF"/>
    <w:rsid w:val="001F7C00"/>
    <w:rsid w:val="0020152E"/>
    <w:rsid w:val="00201E86"/>
    <w:rsid w:val="00201F91"/>
    <w:rsid w:val="00202071"/>
    <w:rsid w:val="002020C6"/>
    <w:rsid w:val="00202240"/>
    <w:rsid w:val="0020243B"/>
    <w:rsid w:val="00202BE0"/>
    <w:rsid w:val="00202EDF"/>
    <w:rsid w:val="0020347E"/>
    <w:rsid w:val="002036CA"/>
    <w:rsid w:val="002041DE"/>
    <w:rsid w:val="0020444F"/>
    <w:rsid w:val="00204762"/>
    <w:rsid w:val="002049F6"/>
    <w:rsid w:val="0020501A"/>
    <w:rsid w:val="0020519B"/>
    <w:rsid w:val="00206953"/>
    <w:rsid w:val="00206D85"/>
    <w:rsid w:val="002074F3"/>
    <w:rsid w:val="0020760A"/>
    <w:rsid w:val="00207E5F"/>
    <w:rsid w:val="002100C8"/>
    <w:rsid w:val="002103E9"/>
    <w:rsid w:val="00210974"/>
    <w:rsid w:val="002113BA"/>
    <w:rsid w:val="0021276F"/>
    <w:rsid w:val="0021292A"/>
    <w:rsid w:val="00212ABF"/>
    <w:rsid w:val="00212C82"/>
    <w:rsid w:val="00213061"/>
    <w:rsid w:val="00213277"/>
    <w:rsid w:val="00213701"/>
    <w:rsid w:val="00213B24"/>
    <w:rsid w:val="00213C5A"/>
    <w:rsid w:val="00213C78"/>
    <w:rsid w:val="0021442E"/>
    <w:rsid w:val="00214A0F"/>
    <w:rsid w:val="00214A19"/>
    <w:rsid w:val="00214C66"/>
    <w:rsid w:val="00214E17"/>
    <w:rsid w:val="00214FE3"/>
    <w:rsid w:val="0021552E"/>
    <w:rsid w:val="00215588"/>
    <w:rsid w:val="00215B21"/>
    <w:rsid w:val="00215BC1"/>
    <w:rsid w:val="00215C99"/>
    <w:rsid w:val="00215D96"/>
    <w:rsid w:val="002160F1"/>
    <w:rsid w:val="0021645A"/>
    <w:rsid w:val="00216465"/>
    <w:rsid w:val="002164A9"/>
    <w:rsid w:val="002165FD"/>
    <w:rsid w:val="00216B8D"/>
    <w:rsid w:val="00216EB6"/>
    <w:rsid w:val="0022092C"/>
    <w:rsid w:val="00220B1B"/>
    <w:rsid w:val="00221107"/>
    <w:rsid w:val="00221AC8"/>
    <w:rsid w:val="00222166"/>
    <w:rsid w:val="002227E0"/>
    <w:rsid w:val="00222823"/>
    <w:rsid w:val="00222AC3"/>
    <w:rsid w:val="00223164"/>
    <w:rsid w:val="0022396A"/>
    <w:rsid w:val="00223FBA"/>
    <w:rsid w:val="00224059"/>
    <w:rsid w:val="00224C66"/>
    <w:rsid w:val="00224D7C"/>
    <w:rsid w:val="00225727"/>
    <w:rsid w:val="00225A9A"/>
    <w:rsid w:val="00225B27"/>
    <w:rsid w:val="00225CA7"/>
    <w:rsid w:val="002261DE"/>
    <w:rsid w:val="00226758"/>
    <w:rsid w:val="00226D3B"/>
    <w:rsid w:val="00226EAE"/>
    <w:rsid w:val="002270B9"/>
    <w:rsid w:val="00227280"/>
    <w:rsid w:val="00227528"/>
    <w:rsid w:val="002277DB"/>
    <w:rsid w:val="00227AEB"/>
    <w:rsid w:val="00227B76"/>
    <w:rsid w:val="00227D94"/>
    <w:rsid w:val="00230332"/>
    <w:rsid w:val="00230478"/>
    <w:rsid w:val="00230745"/>
    <w:rsid w:val="00230803"/>
    <w:rsid w:val="00230B0C"/>
    <w:rsid w:val="00230F47"/>
    <w:rsid w:val="002314F2"/>
    <w:rsid w:val="0023170E"/>
    <w:rsid w:val="002318A5"/>
    <w:rsid w:val="00231CDD"/>
    <w:rsid w:val="00231D43"/>
    <w:rsid w:val="00231ECC"/>
    <w:rsid w:val="00232346"/>
    <w:rsid w:val="00232827"/>
    <w:rsid w:val="00233625"/>
    <w:rsid w:val="002338CC"/>
    <w:rsid w:val="002344CD"/>
    <w:rsid w:val="00234817"/>
    <w:rsid w:val="00234B23"/>
    <w:rsid w:val="00234CE1"/>
    <w:rsid w:val="002354B5"/>
    <w:rsid w:val="00235745"/>
    <w:rsid w:val="0023574A"/>
    <w:rsid w:val="002358DC"/>
    <w:rsid w:val="002360F6"/>
    <w:rsid w:val="002365A8"/>
    <w:rsid w:val="002366CE"/>
    <w:rsid w:val="0023686B"/>
    <w:rsid w:val="00236A95"/>
    <w:rsid w:val="00236CBD"/>
    <w:rsid w:val="0023715A"/>
    <w:rsid w:val="002371E1"/>
    <w:rsid w:val="00237533"/>
    <w:rsid w:val="00237973"/>
    <w:rsid w:val="00237DEB"/>
    <w:rsid w:val="00240333"/>
    <w:rsid w:val="002404C9"/>
    <w:rsid w:val="002404EF"/>
    <w:rsid w:val="00240702"/>
    <w:rsid w:val="00240A93"/>
    <w:rsid w:val="00240EA5"/>
    <w:rsid w:val="00241113"/>
    <w:rsid w:val="00241240"/>
    <w:rsid w:val="00241768"/>
    <w:rsid w:val="0024181A"/>
    <w:rsid w:val="002418A2"/>
    <w:rsid w:val="002418C4"/>
    <w:rsid w:val="00241C51"/>
    <w:rsid w:val="00242008"/>
    <w:rsid w:val="002427B4"/>
    <w:rsid w:val="00242A4D"/>
    <w:rsid w:val="00242EA9"/>
    <w:rsid w:val="00243198"/>
    <w:rsid w:val="002435D3"/>
    <w:rsid w:val="002440AE"/>
    <w:rsid w:val="002442DE"/>
    <w:rsid w:val="002448C0"/>
    <w:rsid w:val="00244BC6"/>
    <w:rsid w:val="00244C32"/>
    <w:rsid w:val="00245241"/>
    <w:rsid w:val="00245A74"/>
    <w:rsid w:val="00245BCA"/>
    <w:rsid w:val="00245FB6"/>
    <w:rsid w:val="002464B0"/>
    <w:rsid w:val="002468D1"/>
    <w:rsid w:val="00246ABE"/>
    <w:rsid w:val="00246DF7"/>
    <w:rsid w:val="00247005"/>
    <w:rsid w:val="002476F6"/>
    <w:rsid w:val="00247893"/>
    <w:rsid w:val="00250168"/>
    <w:rsid w:val="00250268"/>
    <w:rsid w:val="002502B4"/>
    <w:rsid w:val="00250550"/>
    <w:rsid w:val="002505B4"/>
    <w:rsid w:val="002508E7"/>
    <w:rsid w:val="00250B7F"/>
    <w:rsid w:val="00251621"/>
    <w:rsid w:val="00251B0C"/>
    <w:rsid w:val="00251D84"/>
    <w:rsid w:val="00252193"/>
    <w:rsid w:val="0025289A"/>
    <w:rsid w:val="002529E8"/>
    <w:rsid w:val="0025371D"/>
    <w:rsid w:val="00253AFD"/>
    <w:rsid w:val="00253BD2"/>
    <w:rsid w:val="00253CCE"/>
    <w:rsid w:val="00253F50"/>
    <w:rsid w:val="002541E9"/>
    <w:rsid w:val="0025427B"/>
    <w:rsid w:val="00254D93"/>
    <w:rsid w:val="00255B36"/>
    <w:rsid w:val="00255BE4"/>
    <w:rsid w:val="00256296"/>
    <w:rsid w:val="002562E5"/>
    <w:rsid w:val="00256815"/>
    <w:rsid w:val="00256A00"/>
    <w:rsid w:val="00257174"/>
    <w:rsid w:val="0025724E"/>
    <w:rsid w:val="00257937"/>
    <w:rsid w:val="00257A30"/>
    <w:rsid w:val="00257EFD"/>
    <w:rsid w:val="00257F30"/>
    <w:rsid w:val="00260088"/>
    <w:rsid w:val="0026017D"/>
    <w:rsid w:val="0026045D"/>
    <w:rsid w:val="00260823"/>
    <w:rsid w:val="00260B52"/>
    <w:rsid w:val="0026113C"/>
    <w:rsid w:val="0026135C"/>
    <w:rsid w:val="0026172E"/>
    <w:rsid w:val="00261CF4"/>
    <w:rsid w:val="00261D26"/>
    <w:rsid w:val="00261DA1"/>
    <w:rsid w:val="0026215E"/>
    <w:rsid w:val="00262306"/>
    <w:rsid w:val="0026238A"/>
    <w:rsid w:val="00262586"/>
    <w:rsid w:val="0026289F"/>
    <w:rsid w:val="00262EB6"/>
    <w:rsid w:val="002632B5"/>
    <w:rsid w:val="00263336"/>
    <w:rsid w:val="002633AD"/>
    <w:rsid w:val="002635D3"/>
    <w:rsid w:val="002639FE"/>
    <w:rsid w:val="0026438A"/>
    <w:rsid w:val="00264408"/>
    <w:rsid w:val="002644E8"/>
    <w:rsid w:val="00264613"/>
    <w:rsid w:val="0026475E"/>
    <w:rsid w:val="0026492C"/>
    <w:rsid w:val="00264D80"/>
    <w:rsid w:val="0026556D"/>
    <w:rsid w:val="00265FF3"/>
    <w:rsid w:val="002666CB"/>
    <w:rsid w:val="00266A8F"/>
    <w:rsid w:val="00266FBB"/>
    <w:rsid w:val="0026743A"/>
    <w:rsid w:val="00267A16"/>
    <w:rsid w:val="00267CBB"/>
    <w:rsid w:val="00267D35"/>
    <w:rsid w:val="00267E51"/>
    <w:rsid w:val="00267F30"/>
    <w:rsid w:val="00270873"/>
    <w:rsid w:val="00270972"/>
    <w:rsid w:val="00270CD4"/>
    <w:rsid w:val="00271A44"/>
    <w:rsid w:val="002721AA"/>
    <w:rsid w:val="00272391"/>
    <w:rsid w:val="00272B1B"/>
    <w:rsid w:val="00272EBE"/>
    <w:rsid w:val="002736D0"/>
    <w:rsid w:val="00273720"/>
    <w:rsid w:val="00273AFA"/>
    <w:rsid w:val="00273BB0"/>
    <w:rsid w:val="00274161"/>
    <w:rsid w:val="00274430"/>
    <w:rsid w:val="00274536"/>
    <w:rsid w:val="00274E09"/>
    <w:rsid w:val="00274EAE"/>
    <w:rsid w:val="00274FDD"/>
    <w:rsid w:val="0027548B"/>
    <w:rsid w:val="002754B2"/>
    <w:rsid w:val="0027552C"/>
    <w:rsid w:val="00275548"/>
    <w:rsid w:val="00275BA8"/>
    <w:rsid w:val="00275E50"/>
    <w:rsid w:val="002765C4"/>
    <w:rsid w:val="0027661F"/>
    <w:rsid w:val="0027697C"/>
    <w:rsid w:val="00276B2F"/>
    <w:rsid w:val="00276B8C"/>
    <w:rsid w:val="00276F3A"/>
    <w:rsid w:val="00276FB4"/>
    <w:rsid w:val="00277070"/>
    <w:rsid w:val="002770E0"/>
    <w:rsid w:val="002778FA"/>
    <w:rsid w:val="00277BC9"/>
    <w:rsid w:val="002802F0"/>
    <w:rsid w:val="002805DA"/>
    <w:rsid w:val="00280690"/>
    <w:rsid w:val="00280EAB"/>
    <w:rsid w:val="002810EF"/>
    <w:rsid w:val="00281437"/>
    <w:rsid w:val="00281683"/>
    <w:rsid w:val="00281D3E"/>
    <w:rsid w:val="00281E6B"/>
    <w:rsid w:val="002821E3"/>
    <w:rsid w:val="002822F6"/>
    <w:rsid w:val="0028244B"/>
    <w:rsid w:val="002829E2"/>
    <w:rsid w:val="0028320E"/>
    <w:rsid w:val="00283251"/>
    <w:rsid w:val="00283355"/>
    <w:rsid w:val="00283484"/>
    <w:rsid w:val="00283529"/>
    <w:rsid w:val="002835BE"/>
    <w:rsid w:val="002835D3"/>
    <w:rsid w:val="002835F4"/>
    <w:rsid w:val="00283D6B"/>
    <w:rsid w:val="0028497D"/>
    <w:rsid w:val="002849F8"/>
    <w:rsid w:val="00284A3C"/>
    <w:rsid w:val="00284C5C"/>
    <w:rsid w:val="00284DF4"/>
    <w:rsid w:val="00284E9B"/>
    <w:rsid w:val="00284F07"/>
    <w:rsid w:val="00284F7C"/>
    <w:rsid w:val="002852AA"/>
    <w:rsid w:val="002853CE"/>
    <w:rsid w:val="00285A43"/>
    <w:rsid w:val="0028659A"/>
    <w:rsid w:val="00286718"/>
    <w:rsid w:val="00286720"/>
    <w:rsid w:val="0028676E"/>
    <w:rsid w:val="00286814"/>
    <w:rsid w:val="00286AC5"/>
    <w:rsid w:val="00286DCF"/>
    <w:rsid w:val="00287406"/>
    <w:rsid w:val="00290810"/>
    <w:rsid w:val="002908D7"/>
    <w:rsid w:val="00290AAA"/>
    <w:rsid w:val="00290B4B"/>
    <w:rsid w:val="00290DDA"/>
    <w:rsid w:val="00290F7D"/>
    <w:rsid w:val="0029113D"/>
    <w:rsid w:val="00291283"/>
    <w:rsid w:val="002914C2"/>
    <w:rsid w:val="002914D1"/>
    <w:rsid w:val="002917C1"/>
    <w:rsid w:val="00291E02"/>
    <w:rsid w:val="00292269"/>
    <w:rsid w:val="002925DA"/>
    <w:rsid w:val="0029296A"/>
    <w:rsid w:val="002929F4"/>
    <w:rsid w:val="00292B0B"/>
    <w:rsid w:val="00292CFB"/>
    <w:rsid w:val="00292D8D"/>
    <w:rsid w:val="0029301D"/>
    <w:rsid w:val="00293251"/>
    <w:rsid w:val="0029386D"/>
    <w:rsid w:val="00293F3E"/>
    <w:rsid w:val="002940F8"/>
    <w:rsid w:val="00294362"/>
    <w:rsid w:val="00294711"/>
    <w:rsid w:val="00295004"/>
    <w:rsid w:val="002951D7"/>
    <w:rsid w:val="002953EF"/>
    <w:rsid w:val="00295845"/>
    <w:rsid w:val="00295A07"/>
    <w:rsid w:val="0029612B"/>
    <w:rsid w:val="002965D1"/>
    <w:rsid w:val="00296896"/>
    <w:rsid w:val="00296D84"/>
    <w:rsid w:val="00296D94"/>
    <w:rsid w:val="00297196"/>
    <w:rsid w:val="00297370"/>
    <w:rsid w:val="002974BF"/>
    <w:rsid w:val="00297807"/>
    <w:rsid w:val="002978A3"/>
    <w:rsid w:val="00297A4E"/>
    <w:rsid w:val="00297CC6"/>
    <w:rsid w:val="00297D5B"/>
    <w:rsid w:val="00297E1D"/>
    <w:rsid w:val="00297E6D"/>
    <w:rsid w:val="002A01D3"/>
    <w:rsid w:val="002A06B0"/>
    <w:rsid w:val="002A06E8"/>
    <w:rsid w:val="002A0FC6"/>
    <w:rsid w:val="002A15C9"/>
    <w:rsid w:val="002A15EF"/>
    <w:rsid w:val="002A1A36"/>
    <w:rsid w:val="002A1C5E"/>
    <w:rsid w:val="002A2A88"/>
    <w:rsid w:val="002A361C"/>
    <w:rsid w:val="002A36E7"/>
    <w:rsid w:val="002A39C6"/>
    <w:rsid w:val="002A3BDD"/>
    <w:rsid w:val="002A3E8C"/>
    <w:rsid w:val="002A4446"/>
    <w:rsid w:val="002A48EB"/>
    <w:rsid w:val="002A4B92"/>
    <w:rsid w:val="002A4E7D"/>
    <w:rsid w:val="002A5015"/>
    <w:rsid w:val="002A502B"/>
    <w:rsid w:val="002A50C5"/>
    <w:rsid w:val="002A5524"/>
    <w:rsid w:val="002A5DA4"/>
    <w:rsid w:val="002A657D"/>
    <w:rsid w:val="002A6591"/>
    <w:rsid w:val="002A65E1"/>
    <w:rsid w:val="002A6748"/>
    <w:rsid w:val="002A6A39"/>
    <w:rsid w:val="002A6B9C"/>
    <w:rsid w:val="002A7497"/>
    <w:rsid w:val="002A75BA"/>
    <w:rsid w:val="002A7C7E"/>
    <w:rsid w:val="002B017E"/>
    <w:rsid w:val="002B018B"/>
    <w:rsid w:val="002B0220"/>
    <w:rsid w:val="002B0413"/>
    <w:rsid w:val="002B0AEA"/>
    <w:rsid w:val="002B0D50"/>
    <w:rsid w:val="002B0E47"/>
    <w:rsid w:val="002B15F1"/>
    <w:rsid w:val="002B1796"/>
    <w:rsid w:val="002B1DE9"/>
    <w:rsid w:val="002B22FE"/>
    <w:rsid w:val="002B2B82"/>
    <w:rsid w:val="002B2D70"/>
    <w:rsid w:val="002B32DF"/>
    <w:rsid w:val="002B3CFC"/>
    <w:rsid w:val="002B4344"/>
    <w:rsid w:val="002B44E3"/>
    <w:rsid w:val="002B44F6"/>
    <w:rsid w:val="002B491C"/>
    <w:rsid w:val="002B4A46"/>
    <w:rsid w:val="002B4A4E"/>
    <w:rsid w:val="002B4F1A"/>
    <w:rsid w:val="002B5935"/>
    <w:rsid w:val="002B5AC2"/>
    <w:rsid w:val="002B5B41"/>
    <w:rsid w:val="002B5E68"/>
    <w:rsid w:val="002B7154"/>
    <w:rsid w:val="002B799B"/>
    <w:rsid w:val="002B7D81"/>
    <w:rsid w:val="002C0006"/>
    <w:rsid w:val="002C021A"/>
    <w:rsid w:val="002C0883"/>
    <w:rsid w:val="002C136D"/>
    <w:rsid w:val="002C143E"/>
    <w:rsid w:val="002C1532"/>
    <w:rsid w:val="002C2654"/>
    <w:rsid w:val="002C2AB0"/>
    <w:rsid w:val="002C36EE"/>
    <w:rsid w:val="002C3819"/>
    <w:rsid w:val="002C44B9"/>
    <w:rsid w:val="002C4A9D"/>
    <w:rsid w:val="002C4C02"/>
    <w:rsid w:val="002C5361"/>
    <w:rsid w:val="002C5674"/>
    <w:rsid w:val="002C56F5"/>
    <w:rsid w:val="002C647D"/>
    <w:rsid w:val="002C6705"/>
    <w:rsid w:val="002C68A0"/>
    <w:rsid w:val="002C703A"/>
    <w:rsid w:val="002C76E9"/>
    <w:rsid w:val="002C7E1C"/>
    <w:rsid w:val="002D0573"/>
    <w:rsid w:val="002D0578"/>
    <w:rsid w:val="002D05BD"/>
    <w:rsid w:val="002D0A9B"/>
    <w:rsid w:val="002D0BEA"/>
    <w:rsid w:val="002D119A"/>
    <w:rsid w:val="002D1471"/>
    <w:rsid w:val="002D18FB"/>
    <w:rsid w:val="002D1F9F"/>
    <w:rsid w:val="002D20C6"/>
    <w:rsid w:val="002D23A4"/>
    <w:rsid w:val="002D2716"/>
    <w:rsid w:val="002D29A4"/>
    <w:rsid w:val="002D29C9"/>
    <w:rsid w:val="002D2A4B"/>
    <w:rsid w:val="002D2BA6"/>
    <w:rsid w:val="002D31D2"/>
    <w:rsid w:val="002D354E"/>
    <w:rsid w:val="002D3A4B"/>
    <w:rsid w:val="002D3D1E"/>
    <w:rsid w:val="002D3E24"/>
    <w:rsid w:val="002D3FF3"/>
    <w:rsid w:val="002D4255"/>
    <w:rsid w:val="002D4DD3"/>
    <w:rsid w:val="002D4FDA"/>
    <w:rsid w:val="002D52EA"/>
    <w:rsid w:val="002D5A00"/>
    <w:rsid w:val="002D6105"/>
    <w:rsid w:val="002D69DE"/>
    <w:rsid w:val="002D705E"/>
    <w:rsid w:val="002D7363"/>
    <w:rsid w:val="002D7454"/>
    <w:rsid w:val="002D7730"/>
    <w:rsid w:val="002D7AD6"/>
    <w:rsid w:val="002D7BB0"/>
    <w:rsid w:val="002E0492"/>
    <w:rsid w:val="002E070D"/>
    <w:rsid w:val="002E11BE"/>
    <w:rsid w:val="002E162D"/>
    <w:rsid w:val="002E1658"/>
    <w:rsid w:val="002E1784"/>
    <w:rsid w:val="002E17C3"/>
    <w:rsid w:val="002E1BAB"/>
    <w:rsid w:val="002E1D71"/>
    <w:rsid w:val="002E1E71"/>
    <w:rsid w:val="002E205A"/>
    <w:rsid w:val="002E26F7"/>
    <w:rsid w:val="002E38E3"/>
    <w:rsid w:val="002E3918"/>
    <w:rsid w:val="002E39F2"/>
    <w:rsid w:val="002E4714"/>
    <w:rsid w:val="002E48B7"/>
    <w:rsid w:val="002E4B30"/>
    <w:rsid w:val="002E4C4D"/>
    <w:rsid w:val="002E5399"/>
    <w:rsid w:val="002E56E4"/>
    <w:rsid w:val="002E64D3"/>
    <w:rsid w:val="002E687F"/>
    <w:rsid w:val="002E6A6A"/>
    <w:rsid w:val="002E70A4"/>
    <w:rsid w:val="002E710F"/>
    <w:rsid w:val="002E725F"/>
    <w:rsid w:val="002E7EE8"/>
    <w:rsid w:val="002F0189"/>
    <w:rsid w:val="002F04D6"/>
    <w:rsid w:val="002F05C5"/>
    <w:rsid w:val="002F070B"/>
    <w:rsid w:val="002F071C"/>
    <w:rsid w:val="002F0849"/>
    <w:rsid w:val="002F09C1"/>
    <w:rsid w:val="002F0C91"/>
    <w:rsid w:val="002F0D66"/>
    <w:rsid w:val="002F142B"/>
    <w:rsid w:val="002F148F"/>
    <w:rsid w:val="002F1508"/>
    <w:rsid w:val="002F1F78"/>
    <w:rsid w:val="002F2130"/>
    <w:rsid w:val="002F267C"/>
    <w:rsid w:val="002F2861"/>
    <w:rsid w:val="002F3487"/>
    <w:rsid w:val="002F387E"/>
    <w:rsid w:val="002F396C"/>
    <w:rsid w:val="002F3BE0"/>
    <w:rsid w:val="002F3E89"/>
    <w:rsid w:val="002F4543"/>
    <w:rsid w:val="002F4C9E"/>
    <w:rsid w:val="002F4E99"/>
    <w:rsid w:val="002F505C"/>
    <w:rsid w:val="002F562A"/>
    <w:rsid w:val="002F5A4E"/>
    <w:rsid w:val="002F5D21"/>
    <w:rsid w:val="002F6195"/>
    <w:rsid w:val="002F64B8"/>
    <w:rsid w:val="002F66F9"/>
    <w:rsid w:val="002F71AE"/>
    <w:rsid w:val="002F7491"/>
    <w:rsid w:val="002F78CD"/>
    <w:rsid w:val="003000C9"/>
    <w:rsid w:val="003000D5"/>
    <w:rsid w:val="00300125"/>
    <w:rsid w:val="0030108B"/>
    <w:rsid w:val="00301867"/>
    <w:rsid w:val="0030189C"/>
    <w:rsid w:val="003024D3"/>
    <w:rsid w:val="003028CA"/>
    <w:rsid w:val="00302B9E"/>
    <w:rsid w:val="00302E62"/>
    <w:rsid w:val="00303648"/>
    <w:rsid w:val="003036FD"/>
    <w:rsid w:val="0030380E"/>
    <w:rsid w:val="00303975"/>
    <w:rsid w:val="0030422A"/>
    <w:rsid w:val="003051CE"/>
    <w:rsid w:val="003053F6"/>
    <w:rsid w:val="00305581"/>
    <w:rsid w:val="00305A50"/>
    <w:rsid w:val="00305EC7"/>
    <w:rsid w:val="00305F5D"/>
    <w:rsid w:val="003060CE"/>
    <w:rsid w:val="0030615F"/>
    <w:rsid w:val="003065CE"/>
    <w:rsid w:val="003066AB"/>
    <w:rsid w:val="00306CC4"/>
    <w:rsid w:val="003075B9"/>
    <w:rsid w:val="00307BB5"/>
    <w:rsid w:val="00307ECF"/>
    <w:rsid w:val="0031019F"/>
    <w:rsid w:val="00310274"/>
    <w:rsid w:val="00310466"/>
    <w:rsid w:val="00310783"/>
    <w:rsid w:val="00310B5F"/>
    <w:rsid w:val="00310E58"/>
    <w:rsid w:val="00311239"/>
    <w:rsid w:val="003114A1"/>
    <w:rsid w:val="00311A23"/>
    <w:rsid w:val="003120EB"/>
    <w:rsid w:val="00312217"/>
    <w:rsid w:val="003127A6"/>
    <w:rsid w:val="0031281C"/>
    <w:rsid w:val="00312A39"/>
    <w:rsid w:val="00312CBF"/>
    <w:rsid w:val="00312E75"/>
    <w:rsid w:val="003138CE"/>
    <w:rsid w:val="0031397E"/>
    <w:rsid w:val="003144CB"/>
    <w:rsid w:val="00314B15"/>
    <w:rsid w:val="00314BB6"/>
    <w:rsid w:val="00314D90"/>
    <w:rsid w:val="00315D1F"/>
    <w:rsid w:val="003164B6"/>
    <w:rsid w:val="003164D3"/>
    <w:rsid w:val="003167B5"/>
    <w:rsid w:val="00316A12"/>
    <w:rsid w:val="0031749F"/>
    <w:rsid w:val="0031757C"/>
    <w:rsid w:val="003175DD"/>
    <w:rsid w:val="00317AB0"/>
    <w:rsid w:val="00317DA7"/>
    <w:rsid w:val="00320029"/>
    <w:rsid w:val="0032021B"/>
    <w:rsid w:val="00320A66"/>
    <w:rsid w:val="00320BF7"/>
    <w:rsid w:val="00320E92"/>
    <w:rsid w:val="003210D2"/>
    <w:rsid w:val="0032134E"/>
    <w:rsid w:val="0032164A"/>
    <w:rsid w:val="00322328"/>
    <w:rsid w:val="00322345"/>
    <w:rsid w:val="003228D5"/>
    <w:rsid w:val="003228DC"/>
    <w:rsid w:val="00322911"/>
    <w:rsid w:val="003229BD"/>
    <w:rsid w:val="00322B56"/>
    <w:rsid w:val="003233BF"/>
    <w:rsid w:val="00323763"/>
    <w:rsid w:val="00323C7C"/>
    <w:rsid w:val="00323D7D"/>
    <w:rsid w:val="00324903"/>
    <w:rsid w:val="00325262"/>
    <w:rsid w:val="003256E9"/>
    <w:rsid w:val="003257D7"/>
    <w:rsid w:val="003259D7"/>
    <w:rsid w:val="003261D1"/>
    <w:rsid w:val="0032629B"/>
    <w:rsid w:val="0032656B"/>
    <w:rsid w:val="00326714"/>
    <w:rsid w:val="003274F6"/>
    <w:rsid w:val="00327CD7"/>
    <w:rsid w:val="003302C4"/>
    <w:rsid w:val="00330943"/>
    <w:rsid w:val="00331908"/>
    <w:rsid w:val="00331B37"/>
    <w:rsid w:val="00331E26"/>
    <w:rsid w:val="00332597"/>
    <w:rsid w:val="00332C78"/>
    <w:rsid w:val="00332F06"/>
    <w:rsid w:val="00333941"/>
    <w:rsid w:val="00333BDA"/>
    <w:rsid w:val="00333D0A"/>
    <w:rsid w:val="00333DC1"/>
    <w:rsid w:val="003340FF"/>
    <w:rsid w:val="00334420"/>
    <w:rsid w:val="00334812"/>
    <w:rsid w:val="00334A22"/>
    <w:rsid w:val="00334E5F"/>
    <w:rsid w:val="00335894"/>
    <w:rsid w:val="00335A65"/>
    <w:rsid w:val="00335BAB"/>
    <w:rsid w:val="00335EAC"/>
    <w:rsid w:val="003361E0"/>
    <w:rsid w:val="003369BA"/>
    <w:rsid w:val="00336D98"/>
    <w:rsid w:val="0033728D"/>
    <w:rsid w:val="00337457"/>
    <w:rsid w:val="00337A0D"/>
    <w:rsid w:val="00340652"/>
    <w:rsid w:val="0034084D"/>
    <w:rsid w:val="00340B8B"/>
    <w:rsid w:val="00341021"/>
    <w:rsid w:val="00341420"/>
    <w:rsid w:val="003414F0"/>
    <w:rsid w:val="00341835"/>
    <w:rsid w:val="00341B0B"/>
    <w:rsid w:val="00342068"/>
    <w:rsid w:val="0034225C"/>
    <w:rsid w:val="003425EA"/>
    <w:rsid w:val="00343043"/>
    <w:rsid w:val="00343564"/>
    <w:rsid w:val="0034394C"/>
    <w:rsid w:val="00343F70"/>
    <w:rsid w:val="003442B1"/>
    <w:rsid w:val="00344623"/>
    <w:rsid w:val="003446DC"/>
    <w:rsid w:val="003448F4"/>
    <w:rsid w:val="00344A38"/>
    <w:rsid w:val="00344FBC"/>
    <w:rsid w:val="00345141"/>
    <w:rsid w:val="0034542F"/>
    <w:rsid w:val="003455DA"/>
    <w:rsid w:val="00345669"/>
    <w:rsid w:val="00345698"/>
    <w:rsid w:val="00345A31"/>
    <w:rsid w:val="00345B43"/>
    <w:rsid w:val="00345C89"/>
    <w:rsid w:val="00345DE4"/>
    <w:rsid w:val="00345FF6"/>
    <w:rsid w:val="003467C7"/>
    <w:rsid w:val="00346A25"/>
    <w:rsid w:val="00346EC0"/>
    <w:rsid w:val="00347011"/>
    <w:rsid w:val="003472F6"/>
    <w:rsid w:val="003474CC"/>
    <w:rsid w:val="00347BDE"/>
    <w:rsid w:val="00347EE7"/>
    <w:rsid w:val="003505A1"/>
    <w:rsid w:val="003509A4"/>
    <w:rsid w:val="00350B23"/>
    <w:rsid w:val="00350B68"/>
    <w:rsid w:val="00350FD2"/>
    <w:rsid w:val="00350FD9"/>
    <w:rsid w:val="0035129C"/>
    <w:rsid w:val="00351435"/>
    <w:rsid w:val="00351BE7"/>
    <w:rsid w:val="00351F76"/>
    <w:rsid w:val="00352533"/>
    <w:rsid w:val="00352ACA"/>
    <w:rsid w:val="00352BEE"/>
    <w:rsid w:val="00352D10"/>
    <w:rsid w:val="00352FA8"/>
    <w:rsid w:val="00353151"/>
    <w:rsid w:val="00353347"/>
    <w:rsid w:val="0035350E"/>
    <w:rsid w:val="003539E1"/>
    <w:rsid w:val="00353A11"/>
    <w:rsid w:val="00353E81"/>
    <w:rsid w:val="0035418C"/>
    <w:rsid w:val="003543EF"/>
    <w:rsid w:val="003545D1"/>
    <w:rsid w:val="00354F0E"/>
    <w:rsid w:val="00354F14"/>
    <w:rsid w:val="00354F97"/>
    <w:rsid w:val="003551F6"/>
    <w:rsid w:val="003556EC"/>
    <w:rsid w:val="00355F82"/>
    <w:rsid w:val="003564C4"/>
    <w:rsid w:val="00356F0C"/>
    <w:rsid w:val="0035795C"/>
    <w:rsid w:val="00357ED6"/>
    <w:rsid w:val="00361191"/>
    <w:rsid w:val="0036163B"/>
    <w:rsid w:val="00361752"/>
    <w:rsid w:val="00361D17"/>
    <w:rsid w:val="00362583"/>
    <w:rsid w:val="00362D00"/>
    <w:rsid w:val="0036345E"/>
    <w:rsid w:val="00363481"/>
    <w:rsid w:val="00363876"/>
    <w:rsid w:val="00363DB8"/>
    <w:rsid w:val="00364427"/>
    <w:rsid w:val="003647B8"/>
    <w:rsid w:val="003649ED"/>
    <w:rsid w:val="00364A08"/>
    <w:rsid w:val="0036513D"/>
    <w:rsid w:val="00365408"/>
    <w:rsid w:val="00365438"/>
    <w:rsid w:val="00365698"/>
    <w:rsid w:val="0036576C"/>
    <w:rsid w:val="003658FC"/>
    <w:rsid w:val="00365B51"/>
    <w:rsid w:val="00365BF6"/>
    <w:rsid w:val="00365DE3"/>
    <w:rsid w:val="003662B7"/>
    <w:rsid w:val="00366E70"/>
    <w:rsid w:val="00367536"/>
    <w:rsid w:val="00367682"/>
    <w:rsid w:val="003678DC"/>
    <w:rsid w:val="00367AA1"/>
    <w:rsid w:val="0037003D"/>
    <w:rsid w:val="0037018E"/>
    <w:rsid w:val="003709E0"/>
    <w:rsid w:val="00370CF2"/>
    <w:rsid w:val="00370D4C"/>
    <w:rsid w:val="00370E9D"/>
    <w:rsid w:val="0037109B"/>
    <w:rsid w:val="003715EC"/>
    <w:rsid w:val="00371B97"/>
    <w:rsid w:val="00371FED"/>
    <w:rsid w:val="00372229"/>
    <w:rsid w:val="003723DB"/>
    <w:rsid w:val="00372435"/>
    <w:rsid w:val="00372803"/>
    <w:rsid w:val="00372968"/>
    <w:rsid w:val="00372A5B"/>
    <w:rsid w:val="003731E0"/>
    <w:rsid w:val="00373201"/>
    <w:rsid w:val="003737EE"/>
    <w:rsid w:val="00373A24"/>
    <w:rsid w:val="00374605"/>
    <w:rsid w:val="00374CFB"/>
    <w:rsid w:val="00374D0D"/>
    <w:rsid w:val="00375101"/>
    <w:rsid w:val="0037518A"/>
    <w:rsid w:val="0037600A"/>
    <w:rsid w:val="00376191"/>
    <w:rsid w:val="00376662"/>
    <w:rsid w:val="00376774"/>
    <w:rsid w:val="00377374"/>
    <w:rsid w:val="003775BE"/>
    <w:rsid w:val="003777EB"/>
    <w:rsid w:val="0037795D"/>
    <w:rsid w:val="00377EBA"/>
    <w:rsid w:val="003807F0"/>
    <w:rsid w:val="00380E35"/>
    <w:rsid w:val="003810F4"/>
    <w:rsid w:val="0038123A"/>
    <w:rsid w:val="00381455"/>
    <w:rsid w:val="00381457"/>
    <w:rsid w:val="00381FAD"/>
    <w:rsid w:val="0038210A"/>
    <w:rsid w:val="00382D1F"/>
    <w:rsid w:val="00382FE0"/>
    <w:rsid w:val="00382FF0"/>
    <w:rsid w:val="0038327D"/>
    <w:rsid w:val="0038368D"/>
    <w:rsid w:val="00383D51"/>
    <w:rsid w:val="003846F1"/>
    <w:rsid w:val="00384E23"/>
    <w:rsid w:val="003851A1"/>
    <w:rsid w:val="00385347"/>
    <w:rsid w:val="00385509"/>
    <w:rsid w:val="003855D9"/>
    <w:rsid w:val="00385A22"/>
    <w:rsid w:val="0038657F"/>
    <w:rsid w:val="003868C2"/>
    <w:rsid w:val="00387948"/>
    <w:rsid w:val="003879AB"/>
    <w:rsid w:val="00387B94"/>
    <w:rsid w:val="00390003"/>
    <w:rsid w:val="00390062"/>
    <w:rsid w:val="003909D5"/>
    <w:rsid w:val="00390CD3"/>
    <w:rsid w:val="00390EFD"/>
    <w:rsid w:val="00391065"/>
    <w:rsid w:val="003912DC"/>
    <w:rsid w:val="00391410"/>
    <w:rsid w:val="0039184A"/>
    <w:rsid w:val="0039187A"/>
    <w:rsid w:val="00392312"/>
    <w:rsid w:val="003923EC"/>
    <w:rsid w:val="003924FA"/>
    <w:rsid w:val="00392781"/>
    <w:rsid w:val="00393252"/>
    <w:rsid w:val="003932F8"/>
    <w:rsid w:val="00393931"/>
    <w:rsid w:val="00393C95"/>
    <w:rsid w:val="003946F6"/>
    <w:rsid w:val="003949A6"/>
    <w:rsid w:val="00394AD3"/>
    <w:rsid w:val="00395118"/>
    <w:rsid w:val="00395643"/>
    <w:rsid w:val="00395A0F"/>
    <w:rsid w:val="00395AAD"/>
    <w:rsid w:val="00395C64"/>
    <w:rsid w:val="00395F03"/>
    <w:rsid w:val="0039607E"/>
    <w:rsid w:val="003961F5"/>
    <w:rsid w:val="003971C5"/>
    <w:rsid w:val="00397852"/>
    <w:rsid w:val="00397DC2"/>
    <w:rsid w:val="003A0298"/>
    <w:rsid w:val="003A0972"/>
    <w:rsid w:val="003A09A2"/>
    <w:rsid w:val="003A0B1C"/>
    <w:rsid w:val="003A0BB9"/>
    <w:rsid w:val="003A12E7"/>
    <w:rsid w:val="003A1547"/>
    <w:rsid w:val="003A1611"/>
    <w:rsid w:val="003A1D44"/>
    <w:rsid w:val="003A2127"/>
    <w:rsid w:val="003A28F4"/>
    <w:rsid w:val="003A3037"/>
    <w:rsid w:val="003A314C"/>
    <w:rsid w:val="003A316C"/>
    <w:rsid w:val="003A3205"/>
    <w:rsid w:val="003A3A06"/>
    <w:rsid w:val="003A3CCF"/>
    <w:rsid w:val="003A3D3A"/>
    <w:rsid w:val="003A3F65"/>
    <w:rsid w:val="003A5A47"/>
    <w:rsid w:val="003A5C24"/>
    <w:rsid w:val="003A5FE5"/>
    <w:rsid w:val="003A5FEF"/>
    <w:rsid w:val="003A628E"/>
    <w:rsid w:val="003A6472"/>
    <w:rsid w:val="003A6992"/>
    <w:rsid w:val="003A71A1"/>
    <w:rsid w:val="003A7344"/>
    <w:rsid w:val="003A74CD"/>
    <w:rsid w:val="003A7DBA"/>
    <w:rsid w:val="003B04A8"/>
    <w:rsid w:val="003B061E"/>
    <w:rsid w:val="003B0755"/>
    <w:rsid w:val="003B0D78"/>
    <w:rsid w:val="003B1D35"/>
    <w:rsid w:val="003B20F4"/>
    <w:rsid w:val="003B2A3B"/>
    <w:rsid w:val="003B2A88"/>
    <w:rsid w:val="003B2D2E"/>
    <w:rsid w:val="003B3037"/>
    <w:rsid w:val="003B3178"/>
    <w:rsid w:val="003B3636"/>
    <w:rsid w:val="003B36E0"/>
    <w:rsid w:val="003B3744"/>
    <w:rsid w:val="003B3A3A"/>
    <w:rsid w:val="003B4113"/>
    <w:rsid w:val="003B4188"/>
    <w:rsid w:val="003B4224"/>
    <w:rsid w:val="003B4339"/>
    <w:rsid w:val="003B43DE"/>
    <w:rsid w:val="003B4B3D"/>
    <w:rsid w:val="003B5C5E"/>
    <w:rsid w:val="003B6226"/>
    <w:rsid w:val="003B631E"/>
    <w:rsid w:val="003B6425"/>
    <w:rsid w:val="003B645D"/>
    <w:rsid w:val="003B6AAA"/>
    <w:rsid w:val="003B6D6E"/>
    <w:rsid w:val="003B7118"/>
    <w:rsid w:val="003B7374"/>
    <w:rsid w:val="003B78AC"/>
    <w:rsid w:val="003B79AD"/>
    <w:rsid w:val="003B7E72"/>
    <w:rsid w:val="003C0009"/>
    <w:rsid w:val="003C0447"/>
    <w:rsid w:val="003C0CD7"/>
    <w:rsid w:val="003C1064"/>
    <w:rsid w:val="003C11B3"/>
    <w:rsid w:val="003C1262"/>
    <w:rsid w:val="003C142B"/>
    <w:rsid w:val="003C1756"/>
    <w:rsid w:val="003C1841"/>
    <w:rsid w:val="003C1951"/>
    <w:rsid w:val="003C1C1E"/>
    <w:rsid w:val="003C258C"/>
    <w:rsid w:val="003C26BA"/>
    <w:rsid w:val="003C2882"/>
    <w:rsid w:val="003C2CCB"/>
    <w:rsid w:val="003C2F0A"/>
    <w:rsid w:val="003C337F"/>
    <w:rsid w:val="003C3393"/>
    <w:rsid w:val="003C3860"/>
    <w:rsid w:val="003C3A75"/>
    <w:rsid w:val="003C3C23"/>
    <w:rsid w:val="003C422B"/>
    <w:rsid w:val="003C422F"/>
    <w:rsid w:val="003C42C5"/>
    <w:rsid w:val="003C48E9"/>
    <w:rsid w:val="003C4BAD"/>
    <w:rsid w:val="003C4CB4"/>
    <w:rsid w:val="003C549C"/>
    <w:rsid w:val="003C59F1"/>
    <w:rsid w:val="003C5B4B"/>
    <w:rsid w:val="003C5BE5"/>
    <w:rsid w:val="003C5D28"/>
    <w:rsid w:val="003C5D3D"/>
    <w:rsid w:val="003C6691"/>
    <w:rsid w:val="003C6EA5"/>
    <w:rsid w:val="003C70F6"/>
    <w:rsid w:val="003C77E7"/>
    <w:rsid w:val="003C7A26"/>
    <w:rsid w:val="003C7D12"/>
    <w:rsid w:val="003D08D9"/>
    <w:rsid w:val="003D0E01"/>
    <w:rsid w:val="003D0F12"/>
    <w:rsid w:val="003D0FE7"/>
    <w:rsid w:val="003D12A5"/>
    <w:rsid w:val="003D136E"/>
    <w:rsid w:val="003D138C"/>
    <w:rsid w:val="003D1BFC"/>
    <w:rsid w:val="003D1F0D"/>
    <w:rsid w:val="003D2080"/>
    <w:rsid w:val="003D25A2"/>
    <w:rsid w:val="003D407C"/>
    <w:rsid w:val="003D40DC"/>
    <w:rsid w:val="003D48C6"/>
    <w:rsid w:val="003D4A7D"/>
    <w:rsid w:val="003D4E50"/>
    <w:rsid w:val="003D4ECD"/>
    <w:rsid w:val="003D4FEF"/>
    <w:rsid w:val="003D5FD9"/>
    <w:rsid w:val="003D6035"/>
    <w:rsid w:val="003D6122"/>
    <w:rsid w:val="003D6329"/>
    <w:rsid w:val="003D637A"/>
    <w:rsid w:val="003D6417"/>
    <w:rsid w:val="003D6D1E"/>
    <w:rsid w:val="003D6D6C"/>
    <w:rsid w:val="003D72C2"/>
    <w:rsid w:val="003D7CBB"/>
    <w:rsid w:val="003E050F"/>
    <w:rsid w:val="003E0798"/>
    <w:rsid w:val="003E0932"/>
    <w:rsid w:val="003E1369"/>
    <w:rsid w:val="003E1791"/>
    <w:rsid w:val="003E1C59"/>
    <w:rsid w:val="003E1FA6"/>
    <w:rsid w:val="003E25E2"/>
    <w:rsid w:val="003E283D"/>
    <w:rsid w:val="003E29C4"/>
    <w:rsid w:val="003E2BDF"/>
    <w:rsid w:val="003E2ECE"/>
    <w:rsid w:val="003E30F5"/>
    <w:rsid w:val="003E33E9"/>
    <w:rsid w:val="003E37C6"/>
    <w:rsid w:val="003E3ACC"/>
    <w:rsid w:val="003E3DC4"/>
    <w:rsid w:val="003E4B0B"/>
    <w:rsid w:val="003E4D56"/>
    <w:rsid w:val="003E4E34"/>
    <w:rsid w:val="003E4F21"/>
    <w:rsid w:val="003E5663"/>
    <w:rsid w:val="003E59F5"/>
    <w:rsid w:val="003E5AFD"/>
    <w:rsid w:val="003E616B"/>
    <w:rsid w:val="003E69D9"/>
    <w:rsid w:val="003E6ACE"/>
    <w:rsid w:val="003E6AD0"/>
    <w:rsid w:val="003E6EBF"/>
    <w:rsid w:val="003E7608"/>
    <w:rsid w:val="003E7D54"/>
    <w:rsid w:val="003E7F28"/>
    <w:rsid w:val="003F05BA"/>
    <w:rsid w:val="003F0A22"/>
    <w:rsid w:val="003F0C5F"/>
    <w:rsid w:val="003F0FF0"/>
    <w:rsid w:val="003F1236"/>
    <w:rsid w:val="003F2138"/>
    <w:rsid w:val="003F22B3"/>
    <w:rsid w:val="003F236B"/>
    <w:rsid w:val="003F241D"/>
    <w:rsid w:val="003F257C"/>
    <w:rsid w:val="003F2765"/>
    <w:rsid w:val="003F2BE1"/>
    <w:rsid w:val="003F2D9E"/>
    <w:rsid w:val="003F3264"/>
    <w:rsid w:val="003F3405"/>
    <w:rsid w:val="003F3CC1"/>
    <w:rsid w:val="003F41A9"/>
    <w:rsid w:val="003F44EF"/>
    <w:rsid w:val="003F4BB7"/>
    <w:rsid w:val="003F4FD4"/>
    <w:rsid w:val="003F53C3"/>
    <w:rsid w:val="003F55D0"/>
    <w:rsid w:val="003F597C"/>
    <w:rsid w:val="003F60DA"/>
    <w:rsid w:val="003F6AC2"/>
    <w:rsid w:val="003F6BAA"/>
    <w:rsid w:val="003F6C5A"/>
    <w:rsid w:val="003F6EBF"/>
    <w:rsid w:val="003F71B5"/>
    <w:rsid w:val="003F743A"/>
    <w:rsid w:val="003F76B0"/>
    <w:rsid w:val="003F7B4B"/>
    <w:rsid w:val="003F7C1D"/>
    <w:rsid w:val="003F7D9F"/>
    <w:rsid w:val="003F7DFC"/>
    <w:rsid w:val="004003DB"/>
    <w:rsid w:val="00400ADF"/>
    <w:rsid w:val="00400EE0"/>
    <w:rsid w:val="004013A9"/>
    <w:rsid w:val="004014CA"/>
    <w:rsid w:val="00401643"/>
    <w:rsid w:val="004019DF"/>
    <w:rsid w:val="00401AA5"/>
    <w:rsid w:val="004020A6"/>
    <w:rsid w:val="0040229E"/>
    <w:rsid w:val="004024EB"/>
    <w:rsid w:val="004027FB"/>
    <w:rsid w:val="00402807"/>
    <w:rsid w:val="004029F2"/>
    <w:rsid w:val="00403028"/>
    <w:rsid w:val="0040394D"/>
    <w:rsid w:val="00403AED"/>
    <w:rsid w:val="00403B7B"/>
    <w:rsid w:val="00403CB5"/>
    <w:rsid w:val="004041AE"/>
    <w:rsid w:val="00404597"/>
    <w:rsid w:val="0040499F"/>
    <w:rsid w:val="00404E0D"/>
    <w:rsid w:val="00405612"/>
    <w:rsid w:val="00405F83"/>
    <w:rsid w:val="0040623C"/>
    <w:rsid w:val="004062A8"/>
    <w:rsid w:val="00406531"/>
    <w:rsid w:val="004068EC"/>
    <w:rsid w:val="00406DF2"/>
    <w:rsid w:val="00406E1E"/>
    <w:rsid w:val="0040747D"/>
    <w:rsid w:val="00407518"/>
    <w:rsid w:val="0040751B"/>
    <w:rsid w:val="00407F32"/>
    <w:rsid w:val="004105D9"/>
    <w:rsid w:val="004106D1"/>
    <w:rsid w:val="00410BEB"/>
    <w:rsid w:val="004111DE"/>
    <w:rsid w:val="00411435"/>
    <w:rsid w:val="00411755"/>
    <w:rsid w:val="00411F27"/>
    <w:rsid w:val="00411FF8"/>
    <w:rsid w:val="004121FF"/>
    <w:rsid w:val="004125D8"/>
    <w:rsid w:val="004129B5"/>
    <w:rsid w:val="004130A9"/>
    <w:rsid w:val="00413643"/>
    <w:rsid w:val="00413E44"/>
    <w:rsid w:val="0041408E"/>
    <w:rsid w:val="0041424B"/>
    <w:rsid w:val="00414FE3"/>
    <w:rsid w:val="004150F3"/>
    <w:rsid w:val="004151E1"/>
    <w:rsid w:val="004153FD"/>
    <w:rsid w:val="004158DA"/>
    <w:rsid w:val="00415A4D"/>
    <w:rsid w:val="00415D60"/>
    <w:rsid w:val="0041616B"/>
    <w:rsid w:val="00416E0B"/>
    <w:rsid w:val="00416EE6"/>
    <w:rsid w:val="00416F39"/>
    <w:rsid w:val="00416FA4"/>
    <w:rsid w:val="00417124"/>
    <w:rsid w:val="004174E2"/>
    <w:rsid w:val="004174F1"/>
    <w:rsid w:val="004179F1"/>
    <w:rsid w:val="00417A7E"/>
    <w:rsid w:val="00417AA5"/>
    <w:rsid w:val="00417C62"/>
    <w:rsid w:val="00417CCA"/>
    <w:rsid w:val="00417D81"/>
    <w:rsid w:val="0042025E"/>
    <w:rsid w:val="00420415"/>
    <w:rsid w:val="004204D5"/>
    <w:rsid w:val="00420826"/>
    <w:rsid w:val="004208CF"/>
    <w:rsid w:val="00420B15"/>
    <w:rsid w:val="00420D38"/>
    <w:rsid w:val="00421576"/>
    <w:rsid w:val="00421AED"/>
    <w:rsid w:val="00421C9E"/>
    <w:rsid w:val="00421EFE"/>
    <w:rsid w:val="004223BD"/>
    <w:rsid w:val="00422B73"/>
    <w:rsid w:val="00423051"/>
    <w:rsid w:val="004230E6"/>
    <w:rsid w:val="00423157"/>
    <w:rsid w:val="0042349E"/>
    <w:rsid w:val="00423946"/>
    <w:rsid w:val="00423B2A"/>
    <w:rsid w:val="00423BE8"/>
    <w:rsid w:val="00423D74"/>
    <w:rsid w:val="00424748"/>
    <w:rsid w:val="00424F81"/>
    <w:rsid w:val="00425457"/>
    <w:rsid w:val="00425BE5"/>
    <w:rsid w:val="00425E50"/>
    <w:rsid w:val="00426518"/>
    <w:rsid w:val="004267E5"/>
    <w:rsid w:val="0042681B"/>
    <w:rsid w:val="00426862"/>
    <w:rsid w:val="00427099"/>
    <w:rsid w:val="00427145"/>
    <w:rsid w:val="00427EEA"/>
    <w:rsid w:val="00427FA9"/>
    <w:rsid w:val="00430077"/>
    <w:rsid w:val="004303F4"/>
    <w:rsid w:val="00430936"/>
    <w:rsid w:val="00430BC6"/>
    <w:rsid w:val="00430F6F"/>
    <w:rsid w:val="004312DD"/>
    <w:rsid w:val="0043173A"/>
    <w:rsid w:val="00431BF7"/>
    <w:rsid w:val="00431D10"/>
    <w:rsid w:val="0043223E"/>
    <w:rsid w:val="004330DD"/>
    <w:rsid w:val="0043313E"/>
    <w:rsid w:val="00433278"/>
    <w:rsid w:val="004336B4"/>
    <w:rsid w:val="00433BCF"/>
    <w:rsid w:val="00434156"/>
    <w:rsid w:val="0043466F"/>
    <w:rsid w:val="00434A5F"/>
    <w:rsid w:val="00434FEA"/>
    <w:rsid w:val="00435013"/>
    <w:rsid w:val="00435AFC"/>
    <w:rsid w:val="00435C87"/>
    <w:rsid w:val="00435E4E"/>
    <w:rsid w:val="0043615C"/>
    <w:rsid w:val="00436598"/>
    <w:rsid w:val="00436D32"/>
    <w:rsid w:val="004372EF"/>
    <w:rsid w:val="00437650"/>
    <w:rsid w:val="004376E8"/>
    <w:rsid w:val="00437747"/>
    <w:rsid w:val="00440242"/>
    <w:rsid w:val="004408EC"/>
    <w:rsid w:val="00440B81"/>
    <w:rsid w:val="004417E8"/>
    <w:rsid w:val="00441872"/>
    <w:rsid w:val="00441AE6"/>
    <w:rsid w:val="0044247D"/>
    <w:rsid w:val="00442F63"/>
    <w:rsid w:val="00443048"/>
    <w:rsid w:val="004437D8"/>
    <w:rsid w:val="0044383B"/>
    <w:rsid w:val="00443925"/>
    <w:rsid w:val="00443FEE"/>
    <w:rsid w:val="0044404F"/>
    <w:rsid w:val="0044406E"/>
    <w:rsid w:val="004440A6"/>
    <w:rsid w:val="0044431F"/>
    <w:rsid w:val="0044461F"/>
    <w:rsid w:val="00444754"/>
    <w:rsid w:val="00444772"/>
    <w:rsid w:val="00444B87"/>
    <w:rsid w:val="00444F3D"/>
    <w:rsid w:val="0044548E"/>
    <w:rsid w:val="004457B7"/>
    <w:rsid w:val="004458F8"/>
    <w:rsid w:val="0044637C"/>
    <w:rsid w:val="004468B9"/>
    <w:rsid w:val="00446B1E"/>
    <w:rsid w:val="00446C9F"/>
    <w:rsid w:val="00446CF1"/>
    <w:rsid w:val="00447303"/>
    <w:rsid w:val="004474F2"/>
    <w:rsid w:val="004476D4"/>
    <w:rsid w:val="004478B6"/>
    <w:rsid w:val="00447FA0"/>
    <w:rsid w:val="0045017A"/>
    <w:rsid w:val="00450496"/>
    <w:rsid w:val="004515AF"/>
    <w:rsid w:val="0045184E"/>
    <w:rsid w:val="00451E8E"/>
    <w:rsid w:val="00451F96"/>
    <w:rsid w:val="00452A98"/>
    <w:rsid w:val="004533B6"/>
    <w:rsid w:val="004534BB"/>
    <w:rsid w:val="004539B0"/>
    <w:rsid w:val="00453BDA"/>
    <w:rsid w:val="004545E7"/>
    <w:rsid w:val="0045461D"/>
    <w:rsid w:val="00454633"/>
    <w:rsid w:val="0045484D"/>
    <w:rsid w:val="00455097"/>
    <w:rsid w:val="004550A6"/>
    <w:rsid w:val="00455848"/>
    <w:rsid w:val="004558F8"/>
    <w:rsid w:val="0045640B"/>
    <w:rsid w:val="00456563"/>
    <w:rsid w:val="004565DE"/>
    <w:rsid w:val="00456A23"/>
    <w:rsid w:val="00456A41"/>
    <w:rsid w:val="00456AAB"/>
    <w:rsid w:val="00456D0E"/>
    <w:rsid w:val="004574BD"/>
    <w:rsid w:val="0045759F"/>
    <w:rsid w:val="0045763B"/>
    <w:rsid w:val="00457F4C"/>
    <w:rsid w:val="004606C6"/>
    <w:rsid w:val="00460764"/>
    <w:rsid w:val="0046095A"/>
    <w:rsid w:val="004609C8"/>
    <w:rsid w:val="00460A06"/>
    <w:rsid w:val="00460F0F"/>
    <w:rsid w:val="00460F87"/>
    <w:rsid w:val="00461662"/>
    <w:rsid w:val="004618C8"/>
    <w:rsid w:val="00461B65"/>
    <w:rsid w:val="00461B96"/>
    <w:rsid w:val="00461D4D"/>
    <w:rsid w:val="00461F1C"/>
    <w:rsid w:val="004620EA"/>
    <w:rsid w:val="004625B6"/>
    <w:rsid w:val="00462BE4"/>
    <w:rsid w:val="00462C64"/>
    <w:rsid w:val="00462F53"/>
    <w:rsid w:val="004631B3"/>
    <w:rsid w:val="004631D8"/>
    <w:rsid w:val="00463461"/>
    <w:rsid w:val="00463512"/>
    <w:rsid w:val="00463628"/>
    <w:rsid w:val="0046366F"/>
    <w:rsid w:val="0046367E"/>
    <w:rsid w:val="00463730"/>
    <w:rsid w:val="004638DF"/>
    <w:rsid w:val="00463D0F"/>
    <w:rsid w:val="004648D8"/>
    <w:rsid w:val="00464BA1"/>
    <w:rsid w:val="00464E9C"/>
    <w:rsid w:val="00465520"/>
    <w:rsid w:val="004658CA"/>
    <w:rsid w:val="00465954"/>
    <w:rsid w:val="00465A71"/>
    <w:rsid w:val="00465A96"/>
    <w:rsid w:val="00466081"/>
    <w:rsid w:val="00466352"/>
    <w:rsid w:val="004665DB"/>
    <w:rsid w:val="00466770"/>
    <w:rsid w:val="00466F80"/>
    <w:rsid w:val="004671A1"/>
    <w:rsid w:val="004671DB"/>
    <w:rsid w:val="00467684"/>
    <w:rsid w:val="00467C89"/>
    <w:rsid w:val="00467EFB"/>
    <w:rsid w:val="00470E03"/>
    <w:rsid w:val="00470F84"/>
    <w:rsid w:val="00471675"/>
    <w:rsid w:val="00471AA3"/>
    <w:rsid w:val="00471D11"/>
    <w:rsid w:val="00471DD5"/>
    <w:rsid w:val="00471F16"/>
    <w:rsid w:val="004722E2"/>
    <w:rsid w:val="00472424"/>
    <w:rsid w:val="0047261D"/>
    <w:rsid w:val="004729F1"/>
    <w:rsid w:val="00472B8D"/>
    <w:rsid w:val="0047370D"/>
    <w:rsid w:val="0047389B"/>
    <w:rsid w:val="00474200"/>
    <w:rsid w:val="00474268"/>
    <w:rsid w:val="0047456B"/>
    <w:rsid w:val="0047474D"/>
    <w:rsid w:val="00475451"/>
    <w:rsid w:val="00475597"/>
    <w:rsid w:val="004758AE"/>
    <w:rsid w:val="00475C7E"/>
    <w:rsid w:val="00475D8B"/>
    <w:rsid w:val="00476CFF"/>
    <w:rsid w:val="004770CC"/>
    <w:rsid w:val="00477234"/>
    <w:rsid w:val="004774B7"/>
    <w:rsid w:val="004778E1"/>
    <w:rsid w:val="00477DCD"/>
    <w:rsid w:val="00477F16"/>
    <w:rsid w:val="00480820"/>
    <w:rsid w:val="00480D12"/>
    <w:rsid w:val="00481685"/>
    <w:rsid w:val="00481EDA"/>
    <w:rsid w:val="0048254B"/>
    <w:rsid w:val="00483E12"/>
    <w:rsid w:val="00483F66"/>
    <w:rsid w:val="004845C8"/>
    <w:rsid w:val="00484DB4"/>
    <w:rsid w:val="00484E7D"/>
    <w:rsid w:val="00484EC3"/>
    <w:rsid w:val="00484FFC"/>
    <w:rsid w:val="0048518C"/>
    <w:rsid w:val="00485248"/>
    <w:rsid w:val="004853AE"/>
    <w:rsid w:val="00485481"/>
    <w:rsid w:val="00485A7C"/>
    <w:rsid w:val="00485E6F"/>
    <w:rsid w:val="00485F77"/>
    <w:rsid w:val="00486953"/>
    <w:rsid w:val="00486BE3"/>
    <w:rsid w:val="0048721C"/>
    <w:rsid w:val="004876E6"/>
    <w:rsid w:val="004879F9"/>
    <w:rsid w:val="00487A84"/>
    <w:rsid w:val="00490174"/>
    <w:rsid w:val="0049031E"/>
    <w:rsid w:val="00490CA1"/>
    <w:rsid w:val="00490E4C"/>
    <w:rsid w:val="00490E5C"/>
    <w:rsid w:val="00490F11"/>
    <w:rsid w:val="00491035"/>
    <w:rsid w:val="0049141D"/>
    <w:rsid w:val="00491966"/>
    <w:rsid w:val="00491A3E"/>
    <w:rsid w:val="00491A3F"/>
    <w:rsid w:val="00491C66"/>
    <w:rsid w:val="00492187"/>
    <w:rsid w:val="004923DE"/>
    <w:rsid w:val="0049248C"/>
    <w:rsid w:val="00492560"/>
    <w:rsid w:val="00492B55"/>
    <w:rsid w:val="00492F34"/>
    <w:rsid w:val="004938BA"/>
    <w:rsid w:val="00493C27"/>
    <w:rsid w:val="00493DC1"/>
    <w:rsid w:val="0049449D"/>
    <w:rsid w:val="00494DAE"/>
    <w:rsid w:val="0049519F"/>
    <w:rsid w:val="004951B4"/>
    <w:rsid w:val="0049569A"/>
    <w:rsid w:val="00495BFA"/>
    <w:rsid w:val="00495D8C"/>
    <w:rsid w:val="004960DB"/>
    <w:rsid w:val="00496803"/>
    <w:rsid w:val="00497713"/>
    <w:rsid w:val="00497EA9"/>
    <w:rsid w:val="004A0241"/>
    <w:rsid w:val="004A0C46"/>
    <w:rsid w:val="004A0F8F"/>
    <w:rsid w:val="004A136F"/>
    <w:rsid w:val="004A14E8"/>
    <w:rsid w:val="004A167F"/>
    <w:rsid w:val="004A1758"/>
    <w:rsid w:val="004A19E9"/>
    <w:rsid w:val="004A1AD0"/>
    <w:rsid w:val="004A1C9E"/>
    <w:rsid w:val="004A20B0"/>
    <w:rsid w:val="004A23D7"/>
    <w:rsid w:val="004A2458"/>
    <w:rsid w:val="004A2CC4"/>
    <w:rsid w:val="004A35E4"/>
    <w:rsid w:val="004A3C55"/>
    <w:rsid w:val="004A3CF8"/>
    <w:rsid w:val="004A426A"/>
    <w:rsid w:val="004A4422"/>
    <w:rsid w:val="004A5672"/>
    <w:rsid w:val="004A5CAB"/>
    <w:rsid w:val="004A6983"/>
    <w:rsid w:val="004A6E8B"/>
    <w:rsid w:val="004A79D2"/>
    <w:rsid w:val="004A7A9B"/>
    <w:rsid w:val="004A7B9D"/>
    <w:rsid w:val="004B0853"/>
    <w:rsid w:val="004B0AAE"/>
    <w:rsid w:val="004B10E7"/>
    <w:rsid w:val="004B15E5"/>
    <w:rsid w:val="004B15F6"/>
    <w:rsid w:val="004B1857"/>
    <w:rsid w:val="004B1BAA"/>
    <w:rsid w:val="004B1DA6"/>
    <w:rsid w:val="004B1DAB"/>
    <w:rsid w:val="004B1E2F"/>
    <w:rsid w:val="004B1FED"/>
    <w:rsid w:val="004B239C"/>
    <w:rsid w:val="004B2A7F"/>
    <w:rsid w:val="004B2E91"/>
    <w:rsid w:val="004B2F7F"/>
    <w:rsid w:val="004B302A"/>
    <w:rsid w:val="004B3171"/>
    <w:rsid w:val="004B3322"/>
    <w:rsid w:val="004B3885"/>
    <w:rsid w:val="004B3B56"/>
    <w:rsid w:val="004B42E0"/>
    <w:rsid w:val="004B4476"/>
    <w:rsid w:val="004B4862"/>
    <w:rsid w:val="004B4C60"/>
    <w:rsid w:val="004B5461"/>
    <w:rsid w:val="004B54F3"/>
    <w:rsid w:val="004B57B4"/>
    <w:rsid w:val="004B58C4"/>
    <w:rsid w:val="004B58D1"/>
    <w:rsid w:val="004B5A9B"/>
    <w:rsid w:val="004B5B34"/>
    <w:rsid w:val="004B5E27"/>
    <w:rsid w:val="004B5FEA"/>
    <w:rsid w:val="004B679C"/>
    <w:rsid w:val="004B67AD"/>
    <w:rsid w:val="004B6978"/>
    <w:rsid w:val="004B6D65"/>
    <w:rsid w:val="004B715D"/>
    <w:rsid w:val="004B721F"/>
    <w:rsid w:val="004B7362"/>
    <w:rsid w:val="004B7401"/>
    <w:rsid w:val="004B7555"/>
    <w:rsid w:val="004B7AB6"/>
    <w:rsid w:val="004C0589"/>
    <w:rsid w:val="004C0A56"/>
    <w:rsid w:val="004C0A70"/>
    <w:rsid w:val="004C0FD1"/>
    <w:rsid w:val="004C13AA"/>
    <w:rsid w:val="004C181D"/>
    <w:rsid w:val="004C1831"/>
    <w:rsid w:val="004C191B"/>
    <w:rsid w:val="004C1A13"/>
    <w:rsid w:val="004C2002"/>
    <w:rsid w:val="004C21C3"/>
    <w:rsid w:val="004C2311"/>
    <w:rsid w:val="004C2CCD"/>
    <w:rsid w:val="004C306D"/>
    <w:rsid w:val="004C3112"/>
    <w:rsid w:val="004C3CDB"/>
    <w:rsid w:val="004C44F2"/>
    <w:rsid w:val="004C4D60"/>
    <w:rsid w:val="004C4F34"/>
    <w:rsid w:val="004C587C"/>
    <w:rsid w:val="004C588F"/>
    <w:rsid w:val="004C5957"/>
    <w:rsid w:val="004C5B4A"/>
    <w:rsid w:val="004C5BBB"/>
    <w:rsid w:val="004C5CAF"/>
    <w:rsid w:val="004C60D9"/>
    <w:rsid w:val="004C66BA"/>
    <w:rsid w:val="004C67E5"/>
    <w:rsid w:val="004C6DD5"/>
    <w:rsid w:val="004C6E7E"/>
    <w:rsid w:val="004C7672"/>
    <w:rsid w:val="004C77C9"/>
    <w:rsid w:val="004C7B1A"/>
    <w:rsid w:val="004D01BD"/>
    <w:rsid w:val="004D03F8"/>
    <w:rsid w:val="004D03FB"/>
    <w:rsid w:val="004D0645"/>
    <w:rsid w:val="004D1227"/>
    <w:rsid w:val="004D1465"/>
    <w:rsid w:val="004D163C"/>
    <w:rsid w:val="004D23BA"/>
    <w:rsid w:val="004D2420"/>
    <w:rsid w:val="004D3281"/>
    <w:rsid w:val="004D39D1"/>
    <w:rsid w:val="004D3AC7"/>
    <w:rsid w:val="004D403B"/>
    <w:rsid w:val="004D45D9"/>
    <w:rsid w:val="004D483A"/>
    <w:rsid w:val="004D4F7F"/>
    <w:rsid w:val="004D525C"/>
    <w:rsid w:val="004D571B"/>
    <w:rsid w:val="004D574C"/>
    <w:rsid w:val="004D5999"/>
    <w:rsid w:val="004D5A30"/>
    <w:rsid w:val="004D5BE5"/>
    <w:rsid w:val="004D5DF8"/>
    <w:rsid w:val="004D5E3F"/>
    <w:rsid w:val="004D63A8"/>
    <w:rsid w:val="004D641D"/>
    <w:rsid w:val="004D658F"/>
    <w:rsid w:val="004D69C2"/>
    <w:rsid w:val="004D6F35"/>
    <w:rsid w:val="004D7A6D"/>
    <w:rsid w:val="004D7F7F"/>
    <w:rsid w:val="004E02AC"/>
    <w:rsid w:val="004E0987"/>
    <w:rsid w:val="004E0B37"/>
    <w:rsid w:val="004E1877"/>
    <w:rsid w:val="004E190C"/>
    <w:rsid w:val="004E1A06"/>
    <w:rsid w:val="004E1A2A"/>
    <w:rsid w:val="004E214C"/>
    <w:rsid w:val="004E2478"/>
    <w:rsid w:val="004E2599"/>
    <w:rsid w:val="004E2651"/>
    <w:rsid w:val="004E2BD2"/>
    <w:rsid w:val="004E327B"/>
    <w:rsid w:val="004E36E0"/>
    <w:rsid w:val="004E372E"/>
    <w:rsid w:val="004E3C25"/>
    <w:rsid w:val="004E3CBD"/>
    <w:rsid w:val="004E3D3A"/>
    <w:rsid w:val="004E3DDA"/>
    <w:rsid w:val="004E4E15"/>
    <w:rsid w:val="004E53ED"/>
    <w:rsid w:val="004E548F"/>
    <w:rsid w:val="004E5619"/>
    <w:rsid w:val="004E5681"/>
    <w:rsid w:val="004E5A42"/>
    <w:rsid w:val="004E5A90"/>
    <w:rsid w:val="004E5D28"/>
    <w:rsid w:val="004E5EF8"/>
    <w:rsid w:val="004E60EA"/>
    <w:rsid w:val="004E645D"/>
    <w:rsid w:val="004E648B"/>
    <w:rsid w:val="004E654A"/>
    <w:rsid w:val="004E6723"/>
    <w:rsid w:val="004E7639"/>
    <w:rsid w:val="004E7691"/>
    <w:rsid w:val="004E7696"/>
    <w:rsid w:val="004E7B14"/>
    <w:rsid w:val="004E7B1B"/>
    <w:rsid w:val="004E7CF7"/>
    <w:rsid w:val="004F01D3"/>
    <w:rsid w:val="004F01F5"/>
    <w:rsid w:val="004F0226"/>
    <w:rsid w:val="004F0810"/>
    <w:rsid w:val="004F0A3A"/>
    <w:rsid w:val="004F119F"/>
    <w:rsid w:val="004F12B6"/>
    <w:rsid w:val="004F158D"/>
    <w:rsid w:val="004F1677"/>
    <w:rsid w:val="004F1A2D"/>
    <w:rsid w:val="004F1B01"/>
    <w:rsid w:val="004F2AF0"/>
    <w:rsid w:val="004F2C5A"/>
    <w:rsid w:val="004F2EC9"/>
    <w:rsid w:val="004F3140"/>
    <w:rsid w:val="004F357C"/>
    <w:rsid w:val="004F39EB"/>
    <w:rsid w:val="004F3A65"/>
    <w:rsid w:val="004F3B15"/>
    <w:rsid w:val="004F41C7"/>
    <w:rsid w:val="004F42F4"/>
    <w:rsid w:val="004F54D7"/>
    <w:rsid w:val="004F58AB"/>
    <w:rsid w:val="004F59C8"/>
    <w:rsid w:val="004F5B9B"/>
    <w:rsid w:val="004F6567"/>
    <w:rsid w:val="004F6C47"/>
    <w:rsid w:val="004F6C4D"/>
    <w:rsid w:val="004F6ED1"/>
    <w:rsid w:val="004F7264"/>
    <w:rsid w:val="004F74B0"/>
    <w:rsid w:val="004F7943"/>
    <w:rsid w:val="004F7A2E"/>
    <w:rsid w:val="004F7DCE"/>
    <w:rsid w:val="004F7E2D"/>
    <w:rsid w:val="0050057D"/>
    <w:rsid w:val="00500860"/>
    <w:rsid w:val="00500AF3"/>
    <w:rsid w:val="00500D54"/>
    <w:rsid w:val="005012B7"/>
    <w:rsid w:val="0050149D"/>
    <w:rsid w:val="0050167A"/>
    <w:rsid w:val="0050199F"/>
    <w:rsid w:val="00502045"/>
    <w:rsid w:val="005021C3"/>
    <w:rsid w:val="00502A8B"/>
    <w:rsid w:val="00502DAC"/>
    <w:rsid w:val="00502E14"/>
    <w:rsid w:val="0050443C"/>
    <w:rsid w:val="00504C28"/>
    <w:rsid w:val="005051FA"/>
    <w:rsid w:val="00505244"/>
    <w:rsid w:val="00505720"/>
    <w:rsid w:val="00505797"/>
    <w:rsid w:val="005059FF"/>
    <w:rsid w:val="00505D51"/>
    <w:rsid w:val="00505E46"/>
    <w:rsid w:val="00506A4F"/>
    <w:rsid w:val="00507055"/>
    <w:rsid w:val="005071A7"/>
    <w:rsid w:val="005073FC"/>
    <w:rsid w:val="005074D0"/>
    <w:rsid w:val="0050776A"/>
    <w:rsid w:val="00507A03"/>
    <w:rsid w:val="00510009"/>
    <w:rsid w:val="005103C1"/>
    <w:rsid w:val="00510882"/>
    <w:rsid w:val="00510975"/>
    <w:rsid w:val="00510CDE"/>
    <w:rsid w:val="00510EF7"/>
    <w:rsid w:val="005118F4"/>
    <w:rsid w:val="0051206B"/>
    <w:rsid w:val="00512AB1"/>
    <w:rsid w:val="00512FC0"/>
    <w:rsid w:val="005130AC"/>
    <w:rsid w:val="00513778"/>
    <w:rsid w:val="005149F3"/>
    <w:rsid w:val="00514BE9"/>
    <w:rsid w:val="00514D55"/>
    <w:rsid w:val="00514FC0"/>
    <w:rsid w:val="005151C7"/>
    <w:rsid w:val="00515903"/>
    <w:rsid w:val="00515B1B"/>
    <w:rsid w:val="0051603E"/>
    <w:rsid w:val="0051734A"/>
    <w:rsid w:val="005174AD"/>
    <w:rsid w:val="005176C9"/>
    <w:rsid w:val="00520502"/>
    <w:rsid w:val="005205FE"/>
    <w:rsid w:val="00520C7A"/>
    <w:rsid w:val="00520ED3"/>
    <w:rsid w:val="0052138B"/>
    <w:rsid w:val="00521451"/>
    <w:rsid w:val="0052189A"/>
    <w:rsid w:val="005227EC"/>
    <w:rsid w:val="0052291A"/>
    <w:rsid w:val="00522B76"/>
    <w:rsid w:val="00522CAB"/>
    <w:rsid w:val="00523354"/>
    <w:rsid w:val="005236EA"/>
    <w:rsid w:val="0052386D"/>
    <w:rsid w:val="00523D03"/>
    <w:rsid w:val="0052469A"/>
    <w:rsid w:val="00524C6C"/>
    <w:rsid w:val="00524DF7"/>
    <w:rsid w:val="0052532A"/>
    <w:rsid w:val="005254BB"/>
    <w:rsid w:val="00525A02"/>
    <w:rsid w:val="00525C13"/>
    <w:rsid w:val="00526DAB"/>
    <w:rsid w:val="005271EB"/>
    <w:rsid w:val="005272F1"/>
    <w:rsid w:val="005273CB"/>
    <w:rsid w:val="00527DA0"/>
    <w:rsid w:val="00527FDC"/>
    <w:rsid w:val="00530895"/>
    <w:rsid w:val="00530C1D"/>
    <w:rsid w:val="0053192E"/>
    <w:rsid w:val="0053206D"/>
    <w:rsid w:val="005331A2"/>
    <w:rsid w:val="0053367F"/>
    <w:rsid w:val="00533C0D"/>
    <w:rsid w:val="00533E38"/>
    <w:rsid w:val="0053400B"/>
    <w:rsid w:val="005342A3"/>
    <w:rsid w:val="00534581"/>
    <w:rsid w:val="00534CA2"/>
    <w:rsid w:val="005353F4"/>
    <w:rsid w:val="00535658"/>
    <w:rsid w:val="00535704"/>
    <w:rsid w:val="005373B9"/>
    <w:rsid w:val="005375D1"/>
    <w:rsid w:val="00537DCC"/>
    <w:rsid w:val="00540154"/>
    <w:rsid w:val="005401FC"/>
    <w:rsid w:val="00540B42"/>
    <w:rsid w:val="00541056"/>
    <w:rsid w:val="0054180C"/>
    <w:rsid w:val="005419D4"/>
    <w:rsid w:val="00542052"/>
    <w:rsid w:val="005422EA"/>
    <w:rsid w:val="005430F0"/>
    <w:rsid w:val="00543DD6"/>
    <w:rsid w:val="00544457"/>
    <w:rsid w:val="005449C3"/>
    <w:rsid w:val="00544BFF"/>
    <w:rsid w:val="00544CE6"/>
    <w:rsid w:val="00545172"/>
    <w:rsid w:val="00545E3F"/>
    <w:rsid w:val="00546733"/>
    <w:rsid w:val="00546E92"/>
    <w:rsid w:val="005477AD"/>
    <w:rsid w:val="0054794F"/>
    <w:rsid w:val="00547BD6"/>
    <w:rsid w:val="00547D1B"/>
    <w:rsid w:val="0055012E"/>
    <w:rsid w:val="00550139"/>
    <w:rsid w:val="005503E3"/>
    <w:rsid w:val="005504C6"/>
    <w:rsid w:val="00550FDA"/>
    <w:rsid w:val="00551D09"/>
    <w:rsid w:val="00552861"/>
    <w:rsid w:val="00552FD6"/>
    <w:rsid w:val="005532EE"/>
    <w:rsid w:val="00554567"/>
    <w:rsid w:val="00554792"/>
    <w:rsid w:val="00554C8E"/>
    <w:rsid w:val="00554D9E"/>
    <w:rsid w:val="00555012"/>
    <w:rsid w:val="00555619"/>
    <w:rsid w:val="00555716"/>
    <w:rsid w:val="0055582B"/>
    <w:rsid w:val="00555D17"/>
    <w:rsid w:val="00555EAC"/>
    <w:rsid w:val="005566E4"/>
    <w:rsid w:val="00556A74"/>
    <w:rsid w:val="00556D21"/>
    <w:rsid w:val="0056045A"/>
    <w:rsid w:val="00560D6B"/>
    <w:rsid w:val="00561081"/>
    <w:rsid w:val="00561141"/>
    <w:rsid w:val="005613B1"/>
    <w:rsid w:val="00561984"/>
    <w:rsid w:val="00561F4C"/>
    <w:rsid w:val="00562197"/>
    <w:rsid w:val="0056248D"/>
    <w:rsid w:val="00562737"/>
    <w:rsid w:val="00563147"/>
    <w:rsid w:val="00563443"/>
    <w:rsid w:val="0056345D"/>
    <w:rsid w:val="005634BD"/>
    <w:rsid w:val="00563784"/>
    <w:rsid w:val="00563A0E"/>
    <w:rsid w:val="0056424E"/>
    <w:rsid w:val="0056446E"/>
    <w:rsid w:val="005649DF"/>
    <w:rsid w:val="00564B77"/>
    <w:rsid w:val="00565BE1"/>
    <w:rsid w:val="00565CC5"/>
    <w:rsid w:val="00565EEF"/>
    <w:rsid w:val="00565F03"/>
    <w:rsid w:val="005660E6"/>
    <w:rsid w:val="00566A61"/>
    <w:rsid w:val="00566C5A"/>
    <w:rsid w:val="00566E51"/>
    <w:rsid w:val="0056746B"/>
    <w:rsid w:val="005675A8"/>
    <w:rsid w:val="00567853"/>
    <w:rsid w:val="00567866"/>
    <w:rsid w:val="005679AD"/>
    <w:rsid w:val="00567A1E"/>
    <w:rsid w:val="00567AAC"/>
    <w:rsid w:val="00567CA7"/>
    <w:rsid w:val="00567D2E"/>
    <w:rsid w:val="00570093"/>
    <w:rsid w:val="00570AF3"/>
    <w:rsid w:val="00570ED9"/>
    <w:rsid w:val="005710AE"/>
    <w:rsid w:val="00571726"/>
    <w:rsid w:val="00571A98"/>
    <w:rsid w:val="00571C8D"/>
    <w:rsid w:val="00572619"/>
    <w:rsid w:val="005726F0"/>
    <w:rsid w:val="0057295B"/>
    <w:rsid w:val="00572CE5"/>
    <w:rsid w:val="00572F4B"/>
    <w:rsid w:val="005733DB"/>
    <w:rsid w:val="00573A4D"/>
    <w:rsid w:val="00573A8D"/>
    <w:rsid w:val="00573B60"/>
    <w:rsid w:val="00573D12"/>
    <w:rsid w:val="00573FFE"/>
    <w:rsid w:val="00574160"/>
    <w:rsid w:val="00574C99"/>
    <w:rsid w:val="005751E4"/>
    <w:rsid w:val="00575C1B"/>
    <w:rsid w:val="00576437"/>
    <w:rsid w:val="00576C21"/>
    <w:rsid w:val="00577201"/>
    <w:rsid w:val="0057746A"/>
    <w:rsid w:val="00577851"/>
    <w:rsid w:val="00577D3F"/>
    <w:rsid w:val="00580559"/>
    <w:rsid w:val="00580BAA"/>
    <w:rsid w:val="00580DCE"/>
    <w:rsid w:val="005810A3"/>
    <w:rsid w:val="0058143B"/>
    <w:rsid w:val="005819DA"/>
    <w:rsid w:val="00581CD1"/>
    <w:rsid w:val="00581EDF"/>
    <w:rsid w:val="005823D8"/>
    <w:rsid w:val="005825D4"/>
    <w:rsid w:val="00582787"/>
    <w:rsid w:val="005828CA"/>
    <w:rsid w:val="00582A80"/>
    <w:rsid w:val="00582ED4"/>
    <w:rsid w:val="0058394F"/>
    <w:rsid w:val="00583B0D"/>
    <w:rsid w:val="005841D7"/>
    <w:rsid w:val="00584C92"/>
    <w:rsid w:val="005862BD"/>
    <w:rsid w:val="00586835"/>
    <w:rsid w:val="005868AF"/>
    <w:rsid w:val="005871A7"/>
    <w:rsid w:val="00587314"/>
    <w:rsid w:val="005875B7"/>
    <w:rsid w:val="00587BC9"/>
    <w:rsid w:val="00587C45"/>
    <w:rsid w:val="00587F3A"/>
    <w:rsid w:val="00587F4D"/>
    <w:rsid w:val="00590272"/>
    <w:rsid w:val="0059035D"/>
    <w:rsid w:val="005907E0"/>
    <w:rsid w:val="00590A0E"/>
    <w:rsid w:val="00590B1B"/>
    <w:rsid w:val="00590B7A"/>
    <w:rsid w:val="00591029"/>
    <w:rsid w:val="005910F7"/>
    <w:rsid w:val="00591AC0"/>
    <w:rsid w:val="00591C93"/>
    <w:rsid w:val="00592277"/>
    <w:rsid w:val="00592665"/>
    <w:rsid w:val="005929EA"/>
    <w:rsid w:val="00592AE8"/>
    <w:rsid w:val="00592FFA"/>
    <w:rsid w:val="00593118"/>
    <w:rsid w:val="0059352E"/>
    <w:rsid w:val="00593692"/>
    <w:rsid w:val="00593A73"/>
    <w:rsid w:val="00593EB6"/>
    <w:rsid w:val="0059419D"/>
    <w:rsid w:val="005943F5"/>
    <w:rsid w:val="0059462E"/>
    <w:rsid w:val="0059464A"/>
    <w:rsid w:val="00594788"/>
    <w:rsid w:val="00594862"/>
    <w:rsid w:val="005948B3"/>
    <w:rsid w:val="00594F20"/>
    <w:rsid w:val="00595430"/>
    <w:rsid w:val="00595A95"/>
    <w:rsid w:val="00596B05"/>
    <w:rsid w:val="00596C46"/>
    <w:rsid w:val="005972DC"/>
    <w:rsid w:val="005975A5"/>
    <w:rsid w:val="005977B4"/>
    <w:rsid w:val="005977F2"/>
    <w:rsid w:val="00597B6B"/>
    <w:rsid w:val="00597C40"/>
    <w:rsid w:val="00597DDB"/>
    <w:rsid w:val="00597DE0"/>
    <w:rsid w:val="005A01BA"/>
    <w:rsid w:val="005A0694"/>
    <w:rsid w:val="005A08DC"/>
    <w:rsid w:val="005A122E"/>
    <w:rsid w:val="005A122F"/>
    <w:rsid w:val="005A19A0"/>
    <w:rsid w:val="005A19C5"/>
    <w:rsid w:val="005A2019"/>
    <w:rsid w:val="005A2246"/>
    <w:rsid w:val="005A260C"/>
    <w:rsid w:val="005A2BD7"/>
    <w:rsid w:val="005A3522"/>
    <w:rsid w:val="005A3947"/>
    <w:rsid w:val="005A3A46"/>
    <w:rsid w:val="005A3F42"/>
    <w:rsid w:val="005A3FFD"/>
    <w:rsid w:val="005A4544"/>
    <w:rsid w:val="005A48B0"/>
    <w:rsid w:val="005A48C8"/>
    <w:rsid w:val="005A4A31"/>
    <w:rsid w:val="005A4E53"/>
    <w:rsid w:val="005A54DA"/>
    <w:rsid w:val="005A5744"/>
    <w:rsid w:val="005A5845"/>
    <w:rsid w:val="005A597B"/>
    <w:rsid w:val="005A5D32"/>
    <w:rsid w:val="005A65B3"/>
    <w:rsid w:val="005A693F"/>
    <w:rsid w:val="005A6A20"/>
    <w:rsid w:val="005A6D36"/>
    <w:rsid w:val="005A7AB9"/>
    <w:rsid w:val="005A7E21"/>
    <w:rsid w:val="005B02CE"/>
    <w:rsid w:val="005B0657"/>
    <w:rsid w:val="005B09E4"/>
    <w:rsid w:val="005B1324"/>
    <w:rsid w:val="005B15C2"/>
    <w:rsid w:val="005B18EA"/>
    <w:rsid w:val="005B1EF6"/>
    <w:rsid w:val="005B2128"/>
    <w:rsid w:val="005B22CB"/>
    <w:rsid w:val="005B29F0"/>
    <w:rsid w:val="005B2B47"/>
    <w:rsid w:val="005B3058"/>
    <w:rsid w:val="005B31AC"/>
    <w:rsid w:val="005B3738"/>
    <w:rsid w:val="005B38BA"/>
    <w:rsid w:val="005B423A"/>
    <w:rsid w:val="005B478B"/>
    <w:rsid w:val="005B4BE5"/>
    <w:rsid w:val="005B4C67"/>
    <w:rsid w:val="005B4EB8"/>
    <w:rsid w:val="005B53FA"/>
    <w:rsid w:val="005B5BF2"/>
    <w:rsid w:val="005B6857"/>
    <w:rsid w:val="005B6C2D"/>
    <w:rsid w:val="005B7043"/>
    <w:rsid w:val="005B729C"/>
    <w:rsid w:val="005B7675"/>
    <w:rsid w:val="005B7D05"/>
    <w:rsid w:val="005B7E72"/>
    <w:rsid w:val="005B7F67"/>
    <w:rsid w:val="005C0230"/>
    <w:rsid w:val="005C04BC"/>
    <w:rsid w:val="005C07C7"/>
    <w:rsid w:val="005C0E0C"/>
    <w:rsid w:val="005C0FBE"/>
    <w:rsid w:val="005C12AB"/>
    <w:rsid w:val="005C1E9B"/>
    <w:rsid w:val="005C27A2"/>
    <w:rsid w:val="005C2E98"/>
    <w:rsid w:val="005C39B9"/>
    <w:rsid w:val="005C3BA3"/>
    <w:rsid w:val="005C3EB5"/>
    <w:rsid w:val="005C4499"/>
    <w:rsid w:val="005C44D8"/>
    <w:rsid w:val="005C45D9"/>
    <w:rsid w:val="005C4B1A"/>
    <w:rsid w:val="005C4C2B"/>
    <w:rsid w:val="005C4DFE"/>
    <w:rsid w:val="005C52D8"/>
    <w:rsid w:val="005C5354"/>
    <w:rsid w:val="005C55CE"/>
    <w:rsid w:val="005C5C8D"/>
    <w:rsid w:val="005C5DD0"/>
    <w:rsid w:val="005C629A"/>
    <w:rsid w:val="005C69CC"/>
    <w:rsid w:val="005C6AAB"/>
    <w:rsid w:val="005C764D"/>
    <w:rsid w:val="005C7992"/>
    <w:rsid w:val="005D0014"/>
    <w:rsid w:val="005D037A"/>
    <w:rsid w:val="005D054A"/>
    <w:rsid w:val="005D05F5"/>
    <w:rsid w:val="005D06CA"/>
    <w:rsid w:val="005D07BC"/>
    <w:rsid w:val="005D1186"/>
    <w:rsid w:val="005D11E4"/>
    <w:rsid w:val="005D13A1"/>
    <w:rsid w:val="005D1799"/>
    <w:rsid w:val="005D1EF2"/>
    <w:rsid w:val="005D2372"/>
    <w:rsid w:val="005D2BC3"/>
    <w:rsid w:val="005D308D"/>
    <w:rsid w:val="005D3582"/>
    <w:rsid w:val="005D3CB1"/>
    <w:rsid w:val="005D41B9"/>
    <w:rsid w:val="005D4757"/>
    <w:rsid w:val="005D4766"/>
    <w:rsid w:val="005D50E4"/>
    <w:rsid w:val="005D5662"/>
    <w:rsid w:val="005D59C5"/>
    <w:rsid w:val="005D5AED"/>
    <w:rsid w:val="005D5C22"/>
    <w:rsid w:val="005D5FF3"/>
    <w:rsid w:val="005D69A5"/>
    <w:rsid w:val="005D7135"/>
    <w:rsid w:val="005D7151"/>
    <w:rsid w:val="005D7688"/>
    <w:rsid w:val="005D78ED"/>
    <w:rsid w:val="005D7A53"/>
    <w:rsid w:val="005E08BE"/>
    <w:rsid w:val="005E0F92"/>
    <w:rsid w:val="005E0F96"/>
    <w:rsid w:val="005E10E4"/>
    <w:rsid w:val="005E11F6"/>
    <w:rsid w:val="005E1403"/>
    <w:rsid w:val="005E1677"/>
    <w:rsid w:val="005E1B00"/>
    <w:rsid w:val="005E1E3F"/>
    <w:rsid w:val="005E2882"/>
    <w:rsid w:val="005E2B2C"/>
    <w:rsid w:val="005E2D8F"/>
    <w:rsid w:val="005E3029"/>
    <w:rsid w:val="005E30C2"/>
    <w:rsid w:val="005E31FB"/>
    <w:rsid w:val="005E3E56"/>
    <w:rsid w:val="005E41B4"/>
    <w:rsid w:val="005E4335"/>
    <w:rsid w:val="005E4476"/>
    <w:rsid w:val="005E4D17"/>
    <w:rsid w:val="005E5608"/>
    <w:rsid w:val="005E5A72"/>
    <w:rsid w:val="005E5AF0"/>
    <w:rsid w:val="005E6618"/>
    <w:rsid w:val="005E6923"/>
    <w:rsid w:val="005E6DA2"/>
    <w:rsid w:val="005E770D"/>
    <w:rsid w:val="005E7F52"/>
    <w:rsid w:val="005E7FDF"/>
    <w:rsid w:val="005F0019"/>
    <w:rsid w:val="005F03B0"/>
    <w:rsid w:val="005F08E8"/>
    <w:rsid w:val="005F09BC"/>
    <w:rsid w:val="005F0AB5"/>
    <w:rsid w:val="005F130C"/>
    <w:rsid w:val="005F1467"/>
    <w:rsid w:val="005F14A3"/>
    <w:rsid w:val="005F1953"/>
    <w:rsid w:val="005F1A08"/>
    <w:rsid w:val="005F1B22"/>
    <w:rsid w:val="005F1CBE"/>
    <w:rsid w:val="005F1E19"/>
    <w:rsid w:val="005F24F4"/>
    <w:rsid w:val="005F259C"/>
    <w:rsid w:val="005F26C3"/>
    <w:rsid w:val="005F2A96"/>
    <w:rsid w:val="005F2D20"/>
    <w:rsid w:val="005F3251"/>
    <w:rsid w:val="005F37AF"/>
    <w:rsid w:val="005F3939"/>
    <w:rsid w:val="005F3B94"/>
    <w:rsid w:val="005F3C45"/>
    <w:rsid w:val="005F3CE7"/>
    <w:rsid w:val="005F4186"/>
    <w:rsid w:val="005F4382"/>
    <w:rsid w:val="005F4676"/>
    <w:rsid w:val="005F4A01"/>
    <w:rsid w:val="005F4EBA"/>
    <w:rsid w:val="005F4F38"/>
    <w:rsid w:val="005F4F39"/>
    <w:rsid w:val="005F5314"/>
    <w:rsid w:val="005F577E"/>
    <w:rsid w:val="005F5950"/>
    <w:rsid w:val="005F5BF6"/>
    <w:rsid w:val="005F6045"/>
    <w:rsid w:val="005F638B"/>
    <w:rsid w:val="005F6A46"/>
    <w:rsid w:val="005F7279"/>
    <w:rsid w:val="005F79BE"/>
    <w:rsid w:val="006001E1"/>
    <w:rsid w:val="00600DF4"/>
    <w:rsid w:val="00600EDF"/>
    <w:rsid w:val="0060104A"/>
    <w:rsid w:val="00601382"/>
    <w:rsid w:val="00601801"/>
    <w:rsid w:val="00601CE2"/>
    <w:rsid w:val="00602307"/>
    <w:rsid w:val="00602433"/>
    <w:rsid w:val="0060304C"/>
    <w:rsid w:val="00603612"/>
    <w:rsid w:val="00603D02"/>
    <w:rsid w:val="00603F99"/>
    <w:rsid w:val="006044D3"/>
    <w:rsid w:val="00604BFF"/>
    <w:rsid w:val="00604E61"/>
    <w:rsid w:val="00604F26"/>
    <w:rsid w:val="006055D1"/>
    <w:rsid w:val="006055EF"/>
    <w:rsid w:val="00605A1B"/>
    <w:rsid w:val="0060685B"/>
    <w:rsid w:val="00606AFE"/>
    <w:rsid w:val="00606E0C"/>
    <w:rsid w:val="006072A3"/>
    <w:rsid w:val="00607521"/>
    <w:rsid w:val="006078A7"/>
    <w:rsid w:val="00607945"/>
    <w:rsid w:val="006079A6"/>
    <w:rsid w:val="00610011"/>
    <w:rsid w:val="0061016D"/>
    <w:rsid w:val="006102F2"/>
    <w:rsid w:val="006102F3"/>
    <w:rsid w:val="006105B4"/>
    <w:rsid w:val="0061160A"/>
    <w:rsid w:val="0061192B"/>
    <w:rsid w:val="0061256B"/>
    <w:rsid w:val="00612573"/>
    <w:rsid w:val="0061261A"/>
    <w:rsid w:val="00612CD6"/>
    <w:rsid w:val="00612FE4"/>
    <w:rsid w:val="006130C1"/>
    <w:rsid w:val="00613249"/>
    <w:rsid w:val="00613262"/>
    <w:rsid w:val="00613955"/>
    <w:rsid w:val="00613CBE"/>
    <w:rsid w:val="00613DC5"/>
    <w:rsid w:val="00614323"/>
    <w:rsid w:val="006145D4"/>
    <w:rsid w:val="00614691"/>
    <w:rsid w:val="00614787"/>
    <w:rsid w:val="00614F2B"/>
    <w:rsid w:val="00615013"/>
    <w:rsid w:val="00615AC8"/>
    <w:rsid w:val="0061609C"/>
    <w:rsid w:val="006160E6"/>
    <w:rsid w:val="006162AD"/>
    <w:rsid w:val="006168F7"/>
    <w:rsid w:val="0061719F"/>
    <w:rsid w:val="006171AF"/>
    <w:rsid w:val="00617425"/>
    <w:rsid w:val="0061790E"/>
    <w:rsid w:val="00617A80"/>
    <w:rsid w:val="00617B0D"/>
    <w:rsid w:val="00617BB3"/>
    <w:rsid w:val="00617BFE"/>
    <w:rsid w:val="00617DD3"/>
    <w:rsid w:val="00617F0E"/>
    <w:rsid w:val="00620433"/>
    <w:rsid w:val="00620953"/>
    <w:rsid w:val="00620DCA"/>
    <w:rsid w:val="006212CC"/>
    <w:rsid w:val="006216B4"/>
    <w:rsid w:val="0062175F"/>
    <w:rsid w:val="00621E03"/>
    <w:rsid w:val="00622188"/>
    <w:rsid w:val="006221F2"/>
    <w:rsid w:val="00622367"/>
    <w:rsid w:val="00622408"/>
    <w:rsid w:val="00622C2A"/>
    <w:rsid w:val="00622D9D"/>
    <w:rsid w:val="00623007"/>
    <w:rsid w:val="006231CE"/>
    <w:rsid w:val="00624035"/>
    <w:rsid w:val="0062423A"/>
    <w:rsid w:val="00624601"/>
    <w:rsid w:val="00624A66"/>
    <w:rsid w:val="00624A92"/>
    <w:rsid w:val="00624EF1"/>
    <w:rsid w:val="00625067"/>
    <w:rsid w:val="00625089"/>
    <w:rsid w:val="0062512A"/>
    <w:rsid w:val="006252C5"/>
    <w:rsid w:val="00625424"/>
    <w:rsid w:val="006258E3"/>
    <w:rsid w:val="006263AC"/>
    <w:rsid w:val="00626621"/>
    <w:rsid w:val="00626802"/>
    <w:rsid w:val="00627EC2"/>
    <w:rsid w:val="00630166"/>
    <w:rsid w:val="006301EC"/>
    <w:rsid w:val="006305AA"/>
    <w:rsid w:val="00630C9D"/>
    <w:rsid w:val="00630CF1"/>
    <w:rsid w:val="0063107C"/>
    <w:rsid w:val="006313F3"/>
    <w:rsid w:val="00631432"/>
    <w:rsid w:val="006314A6"/>
    <w:rsid w:val="006319D0"/>
    <w:rsid w:val="00631A5C"/>
    <w:rsid w:val="00631C0F"/>
    <w:rsid w:val="006322CA"/>
    <w:rsid w:val="0063271F"/>
    <w:rsid w:val="00633006"/>
    <w:rsid w:val="00633154"/>
    <w:rsid w:val="00633465"/>
    <w:rsid w:val="006339A9"/>
    <w:rsid w:val="00634410"/>
    <w:rsid w:val="0063460A"/>
    <w:rsid w:val="00634BBC"/>
    <w:rsid w:val="00634E0F"/>
    <w:rsid w:val="0063526F"/>
    <w:rsid w:val="00635326"/>
    <w:rsid w:val="006353E3"/>
    <w:rsid w:val="0063583F"/>
    <w:rsid w:val="00635AEE"/>
    <w:rsid w:val="00635E0C"/>
    <w:rsid w:val="00635EF0"/>
    <w:rsid w:val="00636753"/>
    <w:rsid w:val="00636DE2"/>
    <w:rsid w:val="00637097"/>
    <w:rsid w:val="006373EF"/>
    <w:rsid w:val="00637480"/>
    <w:rsid w:val="0063776B"/>
    <w:rsid w:val="0063790B"/>
    <w:rsid w:val="00637BF9"/>
    <w:rsid w:val="00637CA5"/>
    <w:rsid w:val="00640CEB"/>
    <w:rsid w:val="00641378"/>
    <w:rsid w:val="0064179A"/>
    <w:rsid w:val="006417CC"/>
    <w:rsid w:val="00641898"/>
    <w:rsid w:val="00641B89"/>
    <w:rsid w:val="00641DF2"/>
    <w:rsid w:val="006427AD"/>
    <w:rsid w:val="00642C61"/>
    <w:rsid w:val="006430AD"/>
    <w:rsid w:val="00643982"/>
    <w:rsid w:val="006439EA"/>
    <w:rsid w:val="00643C9E"/>
    <w:rsid w:val="00644389"/>
    <w:rsid w:val="00644724"/>
    <w:rsid w:val="00644EB3"/>
    <w:rsid w:val="00644F35"/>
    <w:rsid w:val="006451F2"/>
    <w:rsid w:val="006453BE"/>
    <w:rsid w:val="0064562E"/>
    <w:rsid w:val="0064592F"/>
    <w:rsid w:val="00645CB5"/>
    <w:rsid w:val="006463D4"/>
    <w:rsid w:val="00647259"/>
    <w:rsid w:val="0064747F"/>
    <w:rsid w:val="006479C5"/>
    <w:rsid w:val="00647C32"/>
    <w:rsid w:val="00647DBD"/>
    <w:rsid w:val="0065043B"/>
    <w:rsid w:val="00650870"/>
    <w:rsid w:val="00650D2F"/>
    <w:rsid w:val="00650E2E"/>
    <w:rsid w:val="00650E3A"/>
    <w:rsid w:val="006517AB"/>
    <w:rsid w:val="00651847"/>
    <w:rsid w:val="00651C14"/>
    <w:rsid w:val="00651FC4"/>
    <w:rsid w:val="00651FE4"/>
    <w:rsid w:val="00652010"/>
    <w:rsid w:val="00652A8D"/>
    <w:rsid w:val="00652C55"/>
    <w:rsid w:val="00652EF6"/>
    <w:rsid w:val="006532F8"/>
    <w:rsid w:val="00653845"/>
    <w:rsid w:val="00653FF2"/>
    <w:rsid w:val="00654244"/>
    <w:rsid w:val="006542D4"/>
    <w:rsid w:val="006544BE"/>
    <w:rsid w:val="006547A5"/>
    <w:rsid w:val="00654927"/>
    <w:rsid w:val="00654DF5"/>
    <w:rsid w:val="00654EE8"/>
    <w:rsid w:val="006551AB"/>
    <w:rsid w:val="006557E9"/>
    <w:rsid w:val="00655BC8"/>
    <w:rsid w:val="00656042"/>
    <w:rsid w:val="00656611"/>
    <w:rsid w:val="0065704D"/>
    <w:rsid w:val="006571B8"/>
    <w:rsid w:val="006572B9"/>
    <w:rsid w:val="006572C0"/>
    <w:rsid w:val="0065734D"/>
    <w:rsid w:val="0065787C"/>
    <w:rsid w:val="00657FEE"/>
    <w:rsid w:val="00660405"/>
    <w:rsid w:val="00660790"/>
    <w:rsid w:val="00660A05"/>
    <w:rsid w:val="00660C71"/>
    <w:rsid w:val="00660C97"/>
    <w:rsid w:val="0066149F"/>
    <w:rsid w:val="00661D4B"/>
    <w:rsid w:val="00661EC7"/>
    <w:rsid w:val="006620F6"/>
    <w:rsid w:val="006624EE"/>
    <w:rsid w:val="00662D4D"/>
    <w:rsid w:val="00662DB9"/>
    <w:rsid w:val="006635EF"/>
    <w:rsid w:val="0066369A"/>
    <w:rsid w:val="00663865"/>
    <w:rsid w:val="00663A81"/>
    <w:rsid w:val="00663B61"/>
    <w:rsid w:val="00663E5C"/>
    <w:rsid w:val="006640D9"/>
    <w:rsid w:val="00664A15"/>
    <w:rsid w:val="006651DD"/>
    <w:rsid w:val="00665CA0"/>
    <w:rsid w:val="00666455"/>
    <w:rsid w:val="006672B1"/>
    <w:rsid w:val="00667765"/>
    <w:rsid w:val="00667D35"/>
    <w:rsid w:val="0067048F"/>
    <w:rsid w:val="006705AA"/>
    <w:rsid w:val="00670A54"/>
    <w:rsid w:val="00670D84"/>
    <w:rsid w:val="00670EA0"/>
    <w:rsid w:val="006713D2"/>
    <w:rsid w:val="006719E2"/>
    <w:rsid w:val="00671AC6"/>
    <w:rsid w:val="00671DA7"/>
    <w:rsid w:val="00672606"/>
    <w:rsid w:val="006727D8"/>
    <w:rsid w:val="00672D44"/>
    <w:rsid w:val="00672EC3"/>
    <w:rsid w:val="00673034"/>
    <w:rsid w:val="0067307C"/>
    <w:rsid w:val="00673281"/>
    <w:rsid w:val="00673DF0"/>
    <w:rsid w:val="00673DFD"/>
    <w:rsid w:val="00673EF4"/>
    <w:rsid w:val="00673F3E"/>
    <w:rsid w:val="006740A7"/>
    <w:rsid w:val="006745FC"/>
    <w:rsid w:val="006753FC"/>
    <w:rsid w:val="00675941"/>
    <w:rsid w:val="00676043"/>
    <w:rsid w:val="0067614F"/>
    <w:rsid w:val="006762EC"/>
    <w:rsid w:val="00676535"/>
    <w:rsid w:val="0067687C"/>
    <w:rsid w:val="0067797F"/>
    <w:rsid w:val="00677BA5"/>
    <w:rsid w:val="00677C37"/>
    <w:rsid w:val="006807C5"/>
    <w:rsid w:val="00680D29"/>
    <w:rsid w:val="00680EFD"/>
    <w:rsid w:val="00681216"/>
    <w:rsid w:val="00681324"/>
    <w:rsid w:val="00681408"/>
    <w:rsid w:val="0068172D"/>
    <w:rsid w:val="006817EB"/>
    <w:rsid w:val="00681818"/>
    <w:rsid w:val="00681E23"/>
    <w:rsid w:val="00682538"/>
    <w:rsid w:val="006828B1"/>
    <w:rsid w:val="00682935"/>
    <w:rsid w:val="006829AD"/>
    <w:rsid w:val="00682DCE"/>
    <w:rsid w:val="00682DE3"/>
    <w:rsid w:val="0068361A"/>
    <w:rsid w:val="0068382B"/>
    <w:rsid w:val="006839B8"/>
    <w:rsid w:val="00683C52"/>
    <w:rsid w:val="00683D79"/>
    <w:rsid w:val="00683DBC"/>
    <w:rsid w:val="00683EBD"/>
    <w:rsid w:val="00683F2F"/>
    <w:rsid w:val="00684F49"/>
    <w:rsid w:val="006856F4"/>
    <w:rsid w:val="00685860"/>
    <w:rsid w:val="006858CA"/>
    <w:rsid w:val="00685BB2"/>
    <w:rsid w:val="00685C00"/>
    <w:rsid w:val="00685FA3"/>
    <w:rsid w:val="006861F2"/>
    <w:rsid w:val="00686235"/>
    <w:rsid w:val="00686261"/>
    <w:rsid w:val="006862F5"/>
    <w:rsid w:val="006865C2"/>
    <w:rsid w:val="0068686F"/>
    <w:rsid w:val="00686B45"/>
    <w:rsid w:val="00686CAE"/>
    <w:rsid w:val="00686CC7"/>
    <w:rsid w:val="006874EF"/>
    <w:rsid w:val="00687543"/>
    <w:rsid w:val="006875EB"/>
    <w:rsid w:val="00690058"/>
    <w:rsid w:val="0069043E"/>
    <w:rsid w:val="006910D9"/>
    <w:rsid w:val="0069129D"/>
    <w:rsid w:val="00692BEB"/>
    <w:rsid w:val="00692C34"/>
    <w:rsid w:val="00692E0F"/>
    <w:rsid w:val="006939AA"/>
    <w:rsid w:val="00693C7E"/>
    <w:rsid w:val="00693E59"/>
    <w:rsid w:val="00693FEF"/>
    <w:rsid w:val="00694264"/>
    <w:rsid w:val="006942D1"/>
    <w:rsid w:val="0069451A"/>
    <w:rsid w:val="0069496D"/>
    <w:rsid w:val="00694A14"/>
    <w:rsid w:val="00694AD0"/>
    <w:rsid w:val="00694DD3"/>
    <w:rsid w:val="00695275"/>
    <w:rsid w:val="006954F2"/>
    <w:rsid w:val="00695502"/>
    <w:rsid w:val="00695EA9"/>
    <w:rsid w:val="0069653C"/>
    <w:rsid w:val="00696877"/>
    <w:rsid w:val="00696F20"/>
    <w:rsid w:val="00697737"/>
    <w:rsid w:val="00697D6C"/>
    <w:rsid w:val="006A009B"/>
    <w:rsid w:val="006A01E6"/>
    <w:rsid w:val="006A20C2"/>
    <w:rsid w:val="006A2949"/>
    <w:rsid w:val="006A2AE3"/>
    <w:rsid w:val="006A2F8F"/>
    <w:rsid w:val="006A31DF"/>
    <w:rsid w:val="006A343F"/>
    <w:rsid w:val="006A345F"/>
    <w:rsid w:val="006A3903"/>
    <w:rsid w:val="006A3D3D"/>
    <w:rsid w:val="006A414A"/>
    <w:rsid w:val="006A4270"/>
    <w:rsid w:val="006A4398"/>
    <w:rsid w:val="006A4457"/>
    <w:rsid w:val="006A44FE"/>
    <w:rsid w:val="006A45E6"/>
    <w:rsid w:val="006A48D6"/>
    <w:rsid w:val="006A4923"/>
    <w:rsid w:val="006A5035"/>
    <w:rsid w:val="006A5119"/>
    <w:rsid w:val="006A517A"/>
    <w:rsid w:val="006A5357"/>
    <w:rsid w:val="006A552E"/>
    <w:rsid w:val="006A5DE1"/>
    <w:rsid w:val="006A6007"/>
    <w:rsid w:val="006A6125"/>
    <w:rsid w:val="006A616F"/>
    <w:rsid w:val="006A6B1E"/>
    <w:rsid w:val="006A6CC8"/>
    <w:rsid w:val="006A6F6F"/>
    <w:rsid w:val="006A7375"/>
    <w:rsid w:val="006A7490"/>
    <w:rsid w:val="006A7515"/>
    <w:rsid w:val="006A76CD"/>
    <w:rsid w:val="006B058D"/>
    <w:rsid w:val="006B0D08"/>
    <w:rsid w:val="006B0EE5"/>
    <w:rsid w:val="006B142A"/>
    <w:rsid w:val="006B16BD"/>
    <w:rsid w:val="006B1820"/>
    <w:rsid w:val="006B1B2D"/>
    <w:rsid w:val="006B1BBC"/>
    <w:rsid w:val="006B1EE5"/>
    <w:rsid w:val="006B2473"/>
    <w:rsid w:val="006B2500"/>
    <w:rsid w:val="006B2538"/>
    <w:rsid w:val="006B2A6E"/>
    <w:rsid w:val="006B3AD4"/>
    <w:rsid w:val="006B3C69"/>
    <w:rsid w:val="006B3DA4"/>
    <w:rsid w:val="006B40DB"/>
    <w:rsid w:val="006B4977"/>
    <w:rsid w:val="006B514A"/>
    <w:rsid w:val="006B5B73"/>
    <w:rsid w:val="006B5C07"/>
    <w:rsid w:val="006B5FA5"/>
    <w:rsid w:val="006B61F3"/>
    <w:rsid w:val="006B66B3"/>
    <w:rsid w:val="006B6972"/>
    <w:rsid w:val="006B6D84"/>
    <w:rsid w:val="006B7074"/>
    <w:rsid w:val="006B737D"/>
    <w:rsid w:val="006B7C63"/>
    <w:rsid w:val="006B7D37"/>
    <w:rsid w:val="006B7DA4"/>
    <w:rsid w:val="006C03C7"/>
    <w:rsid w:val="006C06DD"/>
    <w:rsid w:val="006C0987"/>
    <w:rsid w:val="006C0C8F"/>
    <w:rsid w:val="006C0FFE"/>
    <w:rsid w:val="006C1881"/>
    <w:rsid w:val="006C1B0F"/>
    <w:rsid w:val="006C1CD2"/>
    <w:rsid w:val="006C22B9"/>
    <w:rsid w:val="006C2B60"/>
    <w:rsid w:val="006C2F52"/>
    <w:rsid w:val="006C301A"/>
    <w:rsid w:val="006C3055"/>
    <w:rsid w:val="006C3310"/>
    <w:rsid w:val="006C3341"/>
    <w:rsid w:val="006C3458"/>
    <w:rsid w:val="006C3752"/>
    <w:rsid w:val="006C382E"/>
    <w:rsid w:val="006C3A26"/>
    <w:rsid w:val="006C4A3B"/>
    <w:rsid w:val="006C4FA7"/>
    <w:rsid w:val="006C50E9"/>
    <w:rsid w:val="006C5AB8"/>
    <w:rsid w:val="006C5ACC"/>
    <w:rsid w:val="006C5ADA"/>
    <w:rsid w:val="006C60C3"/>
    <w:rsid w:val="006C65F3"/>
    <w:rsid w:val="006C6BEA"/>
    <w:rsid w:val="006C6C03"/>
    <w:rsid w:val="006C7E78"/>
    <w:rsid w:val="006C7F83"/>
    <w:rsid w:val="006D015A"/>
    <w:rsid w:val="006D0563"/>
    <w:rsid w:val="006D056A"/>
    <w:rsid w:val="006D06D8"/>
    <w:rsid w:val="006D0AE9"/>
    <w:rsid w:val="006D0C5E"/>
    <w:rsid w:val="006D0DFE"/>
    <w:rsid w:val="006D0F90"/>
    <w:rsid w:val="006D102F"/>
    <w:rsid w:val="006D1115"/>
    <w:rsid w:val="006D11D8"/>
    <w:rsid w:val="006D1594"/>
    <w:rsid w:val="006D1BA1"/>
    <w:rsid w:val="006D1D15"/>
    <w:rsid w:val="006D23D9"/>
    <w:rsid w:val="006D2616"/>
    <w:rsid w:val="006D272A"/>
    <w:rsid w:val="006D2EBF"/>
    <w:rsid w:val="006D2F23"/>
    <w:rsid w:val="006D3018"/>
    <w:rsid w:val="006D3558"/>
    <w:rsid w:val="006D3B77"/>
    <w:rsid w:val="006D3BC2"/>
    <w:rsid w:val="006D3C55"/>
    <w:rsid w:val="006D3E64"/>
    <w:rsid w:val="006D430D"/>
    <w:rsid w:val="006D4350"/>
    <w:rsid w:val="006D445B"/>
    <w:rsid w:val="006D482C"/>
    <w:rsid w:val="006D484E"/>
    <w:rsid w:val="006D516C"/>
    <w:rsid w:val="006D52DF"/>
    <w:rsid w:val="006D559F"/>
    <w:rsid w:val="006D55A6"/>
    <w:rsid w:val="006D59CA"/>
    <w:rsid w:val="006D5E51"/>
    <w:rsid w:val="006D5E7D"/>
    <w:rsid w:val="006D617A"/>
    <w:rsid w:val="006D6273"/>
    <w:rsid w:val="006D6617"/>
    <w:rsid w:val="006D6A92"/>
    <w:rsid w:val="006D6B74"/>
    <w:rsid w:val="006D6F5B"/>
    <w:rsid w:val="006D771D"/>
    <w:rsid w:val="006D7841"/>
    <w:rsid w:val="006D7E22"/>
    <w:rsid w:val="006E05C6"/>
    <w:rsid w:val="006E09D2"/>
    <w:rsid w:val="006E0B05"/>
    <w:rsid w:val="006E0E17"/>
    <w:rsid w:val="006E2088"/>
    <w:rsid w:val="006E33F7"/>
    <w:rsid w:val="006E35C9"/>
    <w:rsid w:val="006E3706"/>
    <w:rsid w:val="006E38B4"/>
    <w:rsid w:val="006E3A80"/>
    <w:rsid w:val="006E3FA9"/>
    <w:rsid w:val="006E439D"/>
    <w:rsid w:val="006E4603"/>
    <w:rsid w:val="006E48C1"/>
    <w:rsid w:val="006E48E0"/>
    <w:rsid w:val="006E48E3"/>
    <w:rsid w:val="006E57ED"/>
    <w:rsid w:val="006E5FD3"/>
    <w:rsid w:val="006E624F"/>
    <w:rsid w:val="006E640C"/>
    <w:rsid w:val="006E6945"/>
    <w:rsid w:val="006E6AE7"/>
    <w:rsid w:val="006E6C82"/>
    <w:rsid w:val="006E6EDC"/>
    <w:rsid w:val="006E7238"/>
    <w:rsid w:val="006E733F"/>
    <w:rsid w:val="006E74AC"/>
    <w:rsid w:val="006E75B1"/>
    <w:rsid w:val="006E7ABF"/>
    <w:rsid w:val="006E7DDF"/>
    <w:rsid w:val="006F0290"/>
    <w:rsid w:val="006F029E"/>
    <w:rsid w:val="006F08DD"/>
    <w:rsid w:val="006F0F39"/>
    <w:rsid w:val="006F0F3C"/>
    <w:rsid w:val="006F1360"/>
    <w:rsid w:val="006F16EE"/>
    <w:rsid w:val="006F18FB"/>
    <w:rsid w:val="006F1B22"/>
    <w:rsid w:val="006F21A5"/>
    <w:rsid w:val="006F24DB"/>
    <w:rsid w:val="006F2EAE"/>
    <w:rsid w:val="006F2FD4"/>
    <w:rsid w:val="006F33A6"/>
    <w:rsid w:val="006F3897"/>
    <w:rsid w:val="006F3B59"/>
    <w:rsid w:val="006F408E"/>
    <w:rsid w:val="006F4165"/>
    <w:rsid w:val="006F4FE2"/>
    <w:rsid w:val="006F5422"/>
    <w:rsid w:val="006F5726"/>
    <w:rsid w:val="006F5762"/>
    <w:rsid w:val="006F57B3"/>
    <w:rsid w:val="006F5BA6"/>
    <w:rsid w:val="006F6AE5"/>
    <w:rsid w:val="006F7D1A"/>
    <w:rsid w:val="006F7E36"/>
    <w:rsid w:val="006F7EA7"/>
    <w:rsid w:val="00700484"/>
    <w:rsid w:val="0070055D"/>
    <w:rsid w:val="00700FC7"/>
    <w:rsid w:val="00701A41"/>
    <w:rsid w:val="00701AA1"/>
    <w:rsid w:val="00701FD5"/>
    <w:rsid w:val="00702F0D"/>
    <w:rsid w:val="007032AA"/>
    <w:rsid w:val="00703340"/>
    <w:rsid w:val="0070372A"/>
    <w:rsid w:val="00703842"/>
    <w:rsid w:val="007038B2"/>
    <w:rsid w:val="00703976"/>
    <w:rsid w:val="00703BB3"/>
    <w:rsid w:val="00703FC9"/>
    <w:rsid w:val="00704028"/>
    <w:rsid w:val="00704121"/>
    <w:rsid w:val="007048FF"/>
    <w:rsid w:val="00704AC8"/>
    <w:rsid w:val="00704E63"/>
    <w:rsid w:val="00704EC9"/>
    <w:rsid w:val="00705172"/>
    <w:rsid w:val="007053A9"/>
    <w:rsid w:val="00705941"/>
    <w:rsid w:val="00705E7D"/>
    <w:rsid w:val="0070623D"/>
    <w:rsid w:val="0070669B"/>
    <w:rsid w:val="00706801"/>
    <w:rsid w:val="0070686D"/>
    <w:rsid w:val="0070718E"/>
    <w:rsid w:val="00707541"/>
    <w:rsid w:val="00707599"/>
    <w:rsid w:val="00707883"/>
    <w:rsid w:val="0070788D"/>
    <w:rsid w:val="00707EEB"/>
    <w:rsid w:val="007103BC"/>
    <w:rsid w:val="00710607"/>
    <w:rsid w:val="00710FCD"/>
    <w:rsid w:val="0071116A"/>
    <w:rsid w:val="0071127D"/>
    <w:rsid w:val="00711302"/>
    <w:rsid w:val="00711389"/>
    <w:rsid w:val="007115D3"/>
    <w:rsid w:val="007119FD"/>
    <w:rsid w:val="00711B69"/>
    <w:rsid w:val="007125CB"/>
    <w:rsid w:val="00712616"/>
    <w:rsid w:val="00712F05"/>
    <w:rsid w:val="00713017"/>
    <w:rsid w:val="0071318C"/>
    <w:rsid w:val="0071364D"/>
    <w:rsid w:val="007142C1"/>
    <w:rsid w:val="0071433C"/>
    <w:rsid w:val="007148EE"/>
    <w:rsid w:val="00714A23"/>
    <w:rsid w:val="007150D6"/>
    <w:rsid w:val="0071543D"/>
    <w:rsid w:val="00715661"/>
    <w:rsid w:val="0071578B"/>
    <w:rsid w:val="00715C30"/>
    <w:rsid w:val="00715DB7"/>
    <w:rsid w:val="007163CF"/>
    <w:rsid w:val="0071661E"/>
    <w:rsid w:val="0071673E"/>
    <w:rsid w:val="007168DA"/>
    <w:rsid w:val="007171BB"/>
    <w:rsid w:val="007173A2"/>
    <w:rsid w:val="007174BF"/>
    <w:rsid w:val="00717718"/>
    <w:rsid w:val="00717E22"/>
    <w:rsid w:val="00717EAB"/>
    <w:rsid w:val="0072013D"/>
    <w:rsid w:val="00720379"/>
    <w:rsid w:val="0072061E"/>
    <w:rsid w:val="007206B7"/>
    <w:rsid w:val="00720CEB"/>
    <w:rsid w:val="007215C2"/>
    <w:rsid w:val="007219CF"/>
    <w:rsid w:val="007219F6"/>
    <w:rsid w:val="00721A14"/>
    <w:rsid w:val="0072221F"/>
    <w:rsid w:val="007223BC"/>
    <w:rsid w:val="00722533"/>
    <w:rsid w:val="0072255D"/>
    <w:rsid w:val="0072275B"/>
    <w:rsid w:val="007228A1"/>
    <w:rsid w:val="00722CC9"/>
    <w:rsid w:val="00723122"/>
    <w:rsid w:val="0072357E"/>
    <w:rsid w:val="00723AD7"/>
    <w:rsid w:val="00723F0F"/>
    <w:rsid w:val="00724069"/>
    <w:rsid w:val="007240BC"/>
    <w:rsid w:val="0072426F"/>
    <w:rsid w:val="007242B7"/>
    <w:rsid w:val="0072485B"/>
    <w:rsid w:val="00725890"/>
    <w:rsid w:val="007259A7"/>
    <w:rsid w:val="00725B40"/>
    <w:rsid w:val="00725F04"/>
    <w:rsid w:val="00726301"/>
    <w:rsid w:val="007265A6"/>
    <w:rsid w:val="007269D4"/>
    <w:rsid w:val="00726CA9"/>
    <w:rsid w:val="00726F44"/>
    <w:rsid w:val="00727B56"/>
    <w:rsid w:val="00727B98"/>
    <w:rsid w:val="00727BC5"/>
    <w:rsid w:val="00727C3C"/>
    <w:rsid w:val="00727D4D"/>
    <w:rsid w:val="00727FC9"/>
    <w:rsid w:val="007305C0"/>
    <w:rsid w:val="00730617"/>
    <w:rsid w:val="0073107B"/>
    <w:rsid w:val="0073118C"/>
    <w:rsid w:val="0073121D"/>
    <w:rsid w:val="00731729"/>
    <w:rsid w:val="00732059"/>
    <w:rsid w:val="00732B6A"/>
    <w:rsid w:val="00732C43"/>
    <w:rsid w:val="00732CC5"/>
    <w:rsid w:val="007331E0"/>
    <w:rsid w:val="00734B45"/>
    <w:rsid w:val="0073569F"/>
    <w:rsid w:val="00735867"/>
    <w:rsid w:val="00735904"/>
    <w:rsid w:val="00735CBA"/>
    <w:rsid w:val="00735CF2"/>
    <w:rsid w:val="00736412"/>
    <w:rsid w:val="00736A62"/>
    <w:rsid w:val="00736B9C"/>
    <w:rsid w:val="00736C12"/>
    <w:rsid w:val="00736DFC"/>
    <w:rsid w:val="00737094"/>
    <w:rsid w:val="007371BB"/>
    <w:rsid w:val="0073738C"/>
    <w:rsid w:val="0073744B"/>
    <w:rsid w:val="00737617"/>
    <w:rsid w:val="00737CC7"/>
    <w:rsid w:val="00737CFD"/>
    <w:rsid w:val="007402AF"/>
    <w:rsid w:val="00740466"/>
    <w:rsid w:val="0074086A"/>
    <w:rsid w:val="00740FD9"/>
    <w:rsid w:val="007412B3"/>
    <w:rsid w:val="0074183C"/>
    <w:rsid w:val="00741E62"/>
    <w:rsid w:val="007421D8"/>
    <w:rsid w:val="007424EA"/>
    <w:rsid w:val="00742994"/>
    <w:rsid w:val="00742DD5"/>
    <w:rsid w:val="007434D4"/>
    <w:rsid w:val="00743D1E"/>
    <w:rsid w:val="00744AE9"/>
    <w:rsid w:val="00744D67"/>
    <w:rsid w:val="00744EC6"/>
    <w:rsid w:val="007452AA"/>
    <w:rsid w:val="00745322"/>
    <w:rsid w:val="00745510"/>
    <w:rsid w:val="007457C5"/>
    <w:rsid w:val="007458EB"/>
    <w:rsid w:val="00745BB3"/>
    <w:rsid w:val="00746698"/>
    <w:rsid w:val="0074684D"/>
    <w:rsid w:val="00746A05"/>
    <w:rsid w:val="00747437"/>
    <w:rsid w:val="00747E9A"/>
    <w:rsid w:val="00750207"/>
    <w:rsid w:val="00750355"/>
    <w:rsid w:val="007514AC"/>
    <w:rsid w:val="00751B68"/>
    <w:rsid w:val="00751F91"/>
    <w:rsid w:val="0075210B"/>
    <w:rsid w:val="007527A2"/>
    <w:rsid w:val="00752855"/>
    <w:rsid w:val="00752B60"/>
    <w:rsid w:val="0075368D"/>
    <w:rsid w:val="00753BFC"/>
    <w:rsid w:val="00753CAB"/>
    <w:rsid w:val="00754161"/>
    <w:rsid w:val="00754205"/>
    <w:rsid w:val="00754239"/>
    <w:rsid w:val="00754338"/>
    <w:rsid w:val="00754D30"/>
    <w:rsid w:val="007552ED"/>
    <w:rsid w:val="00755816"/>
    <w:rsid w:val="00755A85"/>
    <w:rsid w:val="00755AB6"/>
    <w:rsid w:val="00755ABB"/>
    <w:rsid w:val="0075631D"/>
    <w:rsid w:val="00757203"/>
    <w:rsid w:val="00757376"/>
    <w:rsid w:val="00757AF6"/>
    <w:rsid w:val="00757E89"/>
    <w:rsid w:val="00757F99"/>
    <w:rsid w:val="00760373"/>
    <w:rsid w:val="0076080D"/>
    <w:rsid w:val="00760BE0"/>
    <w:rsid w:val="00760C0C"/>
    <w:rsid w:val="00760C9C"/>
    <w:rsid w:val="00760EB3"/>
    <w:rsid w:val="007614E1"/>
    <w:rsid w:val="00761673"/>
    <w:rsid w:val="0076176E"/>
    <w:rsid w:val="00761BEE"/>
    <w:rsid w:val="00761E44"/>
    <w:rsid w:val="007621D8"/>
    <w:rsid w:val="007623BD"/>
    <w:rsid w:val="00762B47"/>
    <w:rsid w:val="00762C74"/>
    <w:rsid w:val="00762D9C"/>
    <w:rsid w:val="00763210"/>
    <w:rsid w:val="0076329A"/>
    <w:rsid w:val="007633FA"/>
    <w:rsid w:val="00764B0C"/>
    <w:rsid w:val="00764B62"/>
    <w:rsid w:val="00765020"/>
    <w:rsid w:val="00765159"/>
    <w:rsid w:val="0076572E"/>
    <w:rsid w:val="007666D3"/>
    <w:rsid w:val="007668ED"/>
    <w:rsid w:val="00766A5A"/>
    <w:rsid w:val="0076754A"/>
    <w:rsid w:val="00767ADF"/>
    <w:rsid w:val="007704AD"/>
    <w:rsid w:val="0077098D"/>
    <w:rsid w:val="007709DE"/>
    <w:rsid w:val="007710F2"/>
    <w:rsid w:val="0077122A"/>
    <w:rsid w:val="00771697"/>
    <w:rsid w:val="00771DF7"/>
    <w:rsid w:val="00772F62"/>
    <w:rsid w:val="00773BD4"/>
    <w:rsid w:val="007751F4"/>
    <w:rsid w:val="0077585A"/>
    <w:rsid w:val="007759D5"/>
    <w:rsid w:val="00775A2E"/>
    <w:rsid w:val="007760D6"/>
    <w:rsid w:val="0077687B"/>
    <w:rsid w:val="00776960"/>
    <w:rsid w:val="00776F08"/>
    <w:rsid w:val="00776FFF"/>
    <w:rsid w:val="00777084"/>
    <w:rsid w:val="0077728F"/>
    <w:rsid w:val="007772F7"/>
    <w:rsid w:val="00777797"/>
    <w:rsid w:val="00777855"/>
    <w:rsid w:val="00780140"/>
    <w:rsid w:val="00780173"/>
    <w:rsid w:val="007807FB"/>
    <w:rsid w:val="0078092F"/>
    <w:rsid w:val="00780AAF"/>
    <w:rsid w:val="00780BC8"/>
    <w:rsid w:val="00780E10"/>
    <w:rsid w:val="007819FB"/>
    <w:rsid w:val="00781AAC"/>
    <w:rsid w:val="00781D75"/>
    <w:rsid w:val="00782490"/>
    <w:rsid w:val="0078256A"/>
    <w:rsid w:val="00782774"/>
    <w:rsid w:val="00782D3D"/>
    <w:rsid w:val="00782DA9"/>
    <w:rsid w:val="00782EF7"/>
    <w:rsid w:val="0078351D"/>
    <w:rsid w:val="00783E8D"/>
    <w:rsid w:val="00783EA0"/>
    <w:rsid w:val="0078455A"/>
    <w:rsid w:val="00784584"/>
    <w:rsid w:val="00785C05"/>
    <w:rsid w:val="00785CE9"/>
    <w:rsid w:val="00786091"/>
    <w:rsid w:val="00786500"/>
    <w:rsid w:val="00786D9F"/>
    <w:rsid w:val="00786FBF"/>
    <w:rsid w:val="007872DA"/>
    <w:rsid w:val="007872F2"/>
    <w:rsid w:val="0078744C"/>
    <w:rsid w:val="0079041C"/>
    <w:rsid w:val="007906A7"/>
    <w:rsid w:val="0079088E"/>
    <w:rsid w:val="00790918"/>
    <w:rsid w:val="00790A8A"/>
    <w:rsid w:val="007922E9"/>
    <w:rsid w:val="0079261A"/>
    <w:rsid w:val="007927BA"/>
    <w:rsid w:val="007931C7"/>
    <w:rsid w:val="00793B76"/>
    <w:rsid w:val="00793DBD"/>
    <w:rsid w:val="00793E8D"/>
    <w:rsid w:val="00793FC3"/>
    <w:rsid w:val="00794439"/>
    <w:rsid w:val="00794821"/>
    <w:rsid w:val="00794B18"/>
    <w:rsid w:val="007959AF"/>
    <w:rsid w:val="0079610A"/>
    <w:rsid w:val="0079679D"/>
    <w:rsid w:val="0079687A"/>
    <w:rsid w:val="00796883"/>
    <w:rsid w:val="00796FED"/>
    <w:rsid w:val="00797079"/>
    <w:rsid w:val="00797D74"/>
    <w:rsid w:val="007A02EE"/>
    <w:rsid w:val="007A0ABA"/>
    <w:rsid w:val="007A0DBA"/>
    <w:rsid w:val="007A0DE3"/>
    <w:rsid w:val="007A10F5"/>
    <w:rsid w:val="007A1156"/>
    <w:rsid w:val="007A18FB"/>
    <w:rsid w:val="007A21BA"/>
    <w:rsid w:val="007A25BA"/>
    <w:rsid w:val="007A28BE"/>
    <w:rsid w:val="007A2B1B"/>
    <w:rsid w:val="007A3028"/>
    <w:rsid w:val="007A3846"/>
    <w:rsid w:val="007A3A63"/>
    <w:rsid w:val="007A3DCB"/>
    <w:rsid w:val="007A3ECF"/>
    <w:rsid w:val="007A3FF8"/>
    <w:rsid w:val="007A467C"/>
    <w:rsid w:val="007A4BBB"/>
    <w:rsid w:val="007A4D60"/>
    <w:rsid w:val="007A4DF5"/>
    <w:rsid w:val="007A4EDC"/>
    <w:rsid w:val="007A525B"/>
    <w:rsid w:val="007A53BC"/>
    <w:rsid w:val="007A6223"/>
    <w:rsid w:val="007A6CDA"/>
    <w:rsid w:val="007A7269"/>
    <w:rsid w:val="007A74EE"/>
    <w:rsid w:val="007A76A7"/>
    <w:rsid w:val="007B034D"/>
    <w:rsid w:val="007B06E5"/>
    <w:rsid w:val="007B0A77"/>
    <w:rsid w:val="007B12F7"/>
    <w:rsid w:val="007B1507"/>
    <w:rsid w:val="007B1525"/>
    <w:rsid w:val="007B27E9"/>
    <w:rsid w:val="007B2AC9"/>
    <w:rsid w:val="007B2C0E"/>
    <w:rsid w:val="007B3287"/>
    <w:rsid w:val="007B3513"/>
    <w:rsid w:val="007B3781"/>
    <w:rsid w:val="007B3B04"/>
    <w:rsid w:val="007B3FB9"/>
    <w:rsid w:val="007B43FF"/>
    <w:rsid w:val="007B4781"/>
    <w:rsid w:val="007B4C6D"/>
    <w:rsid w:val="007B5451"/>
    <w:rsid w:val="007B619C"/>
    <w:rsid w:val="007B62B9"/>
    <w:rsid w:val="007B67DE"/>
    <w:rsid w:val="007B6953"/>
    <w:rsid w:val="007B6988"/>
    <w:rsid w:val="007B6C21"/>
    <w:rsid w:val="007B7505"/>
    <w:rsid w:val="007B780B"/>
    <w:rsid w:val="007B7C29"/>
    <w:rsid w:val="007B7E77"/>
    <w:rsid w:val="007C0293"/>
    <w:rsid w:val="007C0330"/>
    <w:rsid w:val="007C0605"/>
    <w:rsid w:val="007C0622"/>
    <w:rsid w:val="007C0627"/>
    <w:rsid w:val="007C0681"/>
    <w:rsid w:val="007C0B4F"/>
    <w:rsid w:val="007C0BFC"/>
    <w:rsid w:val="007C0CA9"/>
    <w:rsid w:val="007C0D77"/>
    <w:rsid w:val="007C1E64"/>
    <w:rsid w:val="007C211A"/>
    <w:rsid w:val="007C255B"/>
    <w:rsid w:val="007C2BF7"/>
    <w:rsid w:val="007C392B"/>
    <w:rsid w:val="007C3EC3"/>
    <w:rsid w:val="007C4070"/>
    <w:rsid w:val="007C413E"/>
    <w:rsid w:val="007C45F2"/>
    <w:rsid w:val="007C4D4A"/>
    <w:rsid w:val="007C4D70"/>
    <w:rsid w:val="007C5809"/>
    <w:rsid w:val="007C5897"/>
    <w:rsid w:val="007C5DCC"/>
    <w:rsid w:val="007C6BC3"/>
    <w:rsid w:val="007C6C90"/>
    <w:rsid w:val="007C6C96"/>
    <w:rsid w:val="007C6EBE"/>
    <w:rsid w:val="007C7137"/>
    <w:rsid w:val="007C7267"/>
    <w:rsid w:val="007D008B"/>
    <w:rsid w:val="007D03AA"/>
    <w:rsid w:val="007D044C"/>
    <w:rsid w:val="007D0628"/>
    <w:rsid w:val="007D0894"/>
    <w:rsid w:val="007D1038"/>
    <w:rsid w:val="007D1348"/>
    <w:rsid w:val="007D153E"/>
    <w:rsid w:val="007D1896"/>
    <w:rsid w:val="007D1EA1"/>
    <w:rsid w:val="007D1EBD"/>
    <w:rsid w:val="007D2388"/>
    <w:rsid w:val="007D250F"/>
    <w:rsid w:val="007D25AF"/>
    <w:rsid w:val="007D2865"/>
    <w:rsid w:val="007D323B"/>
    <w:rsid w:val="007D3542"/>
    <w:rsid w:val="007D37FC"/>
    <w:rsid w:val="007D38E4"/>
    <w:rsid w:val="007D3F87"/>
    <w:rsid w:val="007D5642"/>
    <w:rsid w:val="007D5715"/>
    <w:rsid w:val="007D572B"/>
    <w:rsid w:val="007D5730"/>
    <w:rsid w:val="007D5979"/>
    <w:rsid w:val="007D5A4B"/>
    <w:rsid w:val="007D6155"/>
    <w:rsid w:val="007D66FB"/>
    <w:rsid w:val="007D678D"/>
    <w:rsid w:val="007D689E"/>
    <w:rsid w:val="007D6B3A"/>
    <w:rsid w:val="007D6EBE"/>
    <w:rsid w:val="007D714E"/>
    <w:rsid w:val="007D7750"/>
    <w:rsid w:val="007D7BC0"/>
    <w:rsid w:val="007D7C61"/>
    <w:rsid w:val="007D7E71"/>
    <w:rsid w:val="007E00F2"/>
    <w:rsid w:val="007E077F"/>
    <w:rsid w:val="007E1070"/>
    <w:rsid w:val="007E15AE"/>
    <w:rsid w:val="007E1CE1"/>
    <w:rsid w:val="007E2350"/>
    <w:rsid w:val="007E284C"/>
    <w:rsid w:val="007E28F9"/>
    <w:rsid w:val="007E2F2E"/>
    <w:rsid w:val="007E3487"/>
    <w:rsid w:val="007E3956"/>
    <w:rsid w:val="007E58FE"/>
    <w:rsid w:val="007E5971"/>
    <w:rsid w:val="007E6153"/>
    <w:rsid w:val="007E644D"/>
    <w:rsid w:val="007E6473"/>
    <w:rsid w:val="007E676C"/>
    <w:rsid w:val="007E69BA"/>
    <w:rsid w:val="007E6BC8"/>
    <w:rsid w:val="007E6CC5"/>
    <w:rsid w:val="007E712C"/>
    <w:rsid w:val="007E71BA"/>
    <w:rsid w:val="007E7BC5"/>
    <w:rsid w:val="007E7D6A"/>
    <w:rsid w:val="007E7E30"/>
    <w:rsid w:val="007E7F39"/>
    <w:rsid w:val="007F0802"/>
    <w:rsid w:val="007F0C43"/>
    <w:rsid w:val="007F0DD8"/>
    <w:rsid w:val="007F0E03"/>
    <w:rsid w:val="007F1148"/>
    <w:rsid w:val="007F144B"/>
    <w:rsid w:val="007F14D7"/>
    <w:rsid w:val="007F15E9"/>
    <w:rsid w:val="007F164E"/>
    <w:rsid w:val="007F1980"/>
    <w:rsid w:val="007F1A02"/>
    <w:rsid w:val="007F1A70"/>
    <w:rsid w:val="007F1AA6"/>
    <w:rsid w:val="007F1DF6"/>
    <w:rsid w:val="007F22AB"/>
    <w:rsid w:val="007F3232"/>
    <w:rsid w:val="007F3479"/>
    <w:rsid w:val="007F3B7D"/>
    <w:rsid w:val="007F49EF"/>
    <w:rsid w:val="007F4E14"/>
    <w:rsid w:val="007F518C"/>
    <w:rsid w:val="007F52F0"/>
    <w:rsid w:val="007F5DA8"/>
    <w:rsid w:val="007F6547"/>
    <w:rsid w:val="007F6550"/>
    <w:rsid w:val="007F7053"/>
    <w:rsid w:val="007F7479"/>
    <w:rsid w:val="007F78BA"/>
    <w:rsid w:val="007F79B1"/>
    <w:rsid w:val="007F7DA6"/>
    <w:rsid w:val="007F7E79"/>
    <w:rsid w:val="008001AA"/>
    <w:rsid w:val="00800E99"/>
    <w:rsid w:val="008011AD"/>
    <w:rsid w:val="00801A77"/>
    <w:rsid w:val="00801BCF"/>
    <w:rsid w:val="00801F0C"/>
    <w:rsid w:val="008026D4"/>
    <w:rsid w:val="00802857"/>
    <w:rsid w:val="00802E9D"/>
    <w:rsid w:val="00802EC4"/>
    <w:rsid w:val="0080302C"/>
    <w:rsid w:val="008033F9"/>
    <w:rsid w:val="008035C6"/>
    <w:rsid w:val="00803882"/>
    <w:rsid w:val="00803ADF"/>
    <w:rsid w:val="00803B60"/>
    <w:rsid w:val="00803ED6"/>
    <w:rsid w:val="00804D11"/>
    <w:rsid w:val="00804D5B"/>
    <w:rsid w:val="00804EA5"/>
    <w:rsid w:val="00805058"/>
    <w:rsid w:val="00805E79"/>
    <w:rsid w:val="00805F48"/>
    <w:rsid w:val="00806192"/>
    <w:rsid w:val="00806F0A"/>
    <w:rsid w:val="00807058"/>
    <w:rsid w:val="00807830"/>
    <w:rsid w:val="00807E00"/>
    <w:rsid w:val="00807EAC"/>
    <w:rsid w:val="00810137"/>
    <w:rsid w:val="00810973"/>
    <w:rsid w:val="00810C73"/>
    <w:rsid w:val="0081130C"/>
    <w:rsid w:val="00811F2E"/>
    <w:rsid w:val="008121E3"/>
    <w:rsid w:val="00812423"/>
    <w:rsid w:val="00812727"/>
    <w:rsid w:val="008127D0"/>
    <w:rsid w:val="00812981"/>
    <w:rsid w:val="0081325E"/>
    <w:rsid w:val="00813798"/>
    <w:rsid w:val="00813858"/>
    <w:rsid w:val="00813BBF"/>
    <w:rsid w:val="00813D46"/>
    <w:rsid w:val="00814375"/>
    <w:rsid w:val="00814435"/>
    <w:rsid w:val="008146C5"/>
    <w:rsid w:val="0081479C"/>
    <w:rsid w:val="00814B35"/>
    <w:rsid w:val="00814BA1"/>
    <w:rsid w:val="008151E2"/>
    <w:rsid w:val="00815579"/>
    <w:rsid w:val="008155EC"/>
    <w:rsid w:val="00815692"/>
    <w:rsid w:val="00817DD8"/>
    <w:rsid w:val="008200F5"/>
    <w:rsid w:val="00820290"/>
    <w:rsid w:val="0082045C"/>
    <w:rsid w:val="0082048C"/>
    <w:rsid w:val="0082066B"/>
    <w:rsid w:val="0082087A"/>
    <w:rsid w:val="00820885"/>
    <w:rsid w:val="00820C60"/>
    <w:rsid w:val="00820E85"/>
    <w:rsid w:val="008212E9"/>
    <w:rsid w:val="00821565"/>
    <w:rsid w:val="00821717"/>
    <w:rsid w:val="008220E8"/>
    <w:rsid w:val="00822142"/>
    <w:rsid w:val="008224D3"/>
    <w:rsid w:val="00822684"/>
    <w:rsid w:val="0082273C"/>
    <w:rsid w:val="008228D2"/>
    <w:rsid w:val="00822BB8"/>
    <w:rsid w:val="00822E6B"/>
    <w:rsid w:val="008235E6"/>
    <w:rsid w:val="00823BDA"/>
    <w:rsid w:val="008248DD"/>
    <w:rsid w:val="00824B04"/>
    <w:rsid w:val="00825511"/>
    <w:rsid w:val="008262D8"/>
    <w:rsid w:val="008266A8"/>
    <w:rsid w:val="008269E0"/>
    <w:rsid w:val="00826A65"/>
    <w:rsid w:val="00826B83"/>
    <w:rsid w:val="00826B97"/>
    <w:rsid w:val="00826F76"/>
    <w:rsid w:val="0082718D"/>
    <w:rsid w:val="008275C7"/>
    <w:rsid w:val="00827716"/>
    <w:rsid w:val="0082796B"/>
    <w:rsid w:val="008306C5"/>
    <w:rsid w:val="0083074E"/>
    <w:rsid w:val="00830A5D"/>
    <w:rsid w:val="00831255"/>
    <w:rsid w:val="008315F5"/>
    <w:rsid w:val="00831789"/>
    <w:rsid w:val="00831A69"/>
    <w:rsid w:val="00831AC4"/>
    <w:rsid w:val="00831D42"/>
    <w:rsid w:val="0083201A"/>
    <w:rsid w:val="0083223F"/>
    <w:rsid w:val="00832379"/>
    <w:rsid w:val="0083286F"/>
    <w:rsid w:val="00832AB0"/>
    <w:rsid w:val="00832AEC"/>
    <w:rsid w:val="00832E26"/>
    <w:rsid w:val="0083338E"/>
    <w:rsid w:val="008333E9"/>
    <w:rsid w:val="00833507"/>
    <w:rsid w:val="00833A5D"/>
    <w:rsid w:val="00833B1A"/>
    <w:rsid w:val="00833C25"/>
    <w:rsid w:val="0083415C"/>
    <w:rsid w:val="008341F2"/>
    <w:rsid w:val="008349C3"/>
    <w:rsid w:val="008349DB"/>
    <w:rsid w:val="00834DD5"/>
    <w:rsid w:val="00834FDF"/>
    <w:rsid w:val="0083509A"/>
    <w:rsid w:val="008353B3"/>
    <w:rsid w:val="00835AD1"/>
    <w:rsid w:val="008360C1"/>
    <w:rsid w:val="008363D1"/>
    <w:rsid w:val="008366A1"/>
    <w:rsid w:val="00836987"/>
    <w:rsid w:val="00836A68"/>
    <w:rsid w:val="00836BC0"/>
    <w:rsid w:val="00836D09"/>
    <w:rsid w:val="00836D65"/>
    <w:rsid w:val="00836DAB"/>
    <w:rsid w:val="008370B6"/>
    <w:rsid w:val="0083754A"/>
    <w:rsid w:val="008379E8"/>
    <w:rsid w:val="008403C3"/>
    <w:rsid w:val="0084096A"/>
    <w:rsid w:val="00840C0F"/>
    <w:rsid w:val="00842045"/>
    <w:rsid w:val="0084204E"/>
    <w:rsid w:val="0084221F"/>
    <w:rsid w:val="008422CB"/>
    <w:rsid w:val="008423B4"/>
    <w:rsid w:val="008429ED"/>
    <w:rsid w:val="00842CB3"/>
    <w:rsid w:val="00842F2F"/>
    <w:rsid w:val="00843262"/>
    <w:rsid w:val="00843498"/>
    <w:rsid w:val="008436C4"/>
    <w:rsid w:val="0084389F"/>
    <w:rsid w:val="0084390E"/>
    <w:rsid w:val="0084393D"/>
    <w:rsid w:val="00843F8F"/>
    <w:rsid w:val="008442FA"/>
    <w:rsid w:val="00844736"/>
    <w:rsid w:val="00844758"/>
    <w:rsid w:val="0084498D"/>
    <w:rsid w:val="00844A13"/>
    <w:rsid w:val="00844A81"/>
    <w:rsid w:val="00844EA5"/>
    <w:rsid w:val="00845552"/>
    <w:rsid w:val="008463E7"/>
    <w:rsid w:val="0084684A"/>
    <w:rsid w:val="008469D1"/>
    <w:rsid w:val="00847634"/>
    <w:rsid w:val="0084796D"/>
    <w:rsid w:val="00847D36"/>
    <w:rsid w:val="008502FA"/>
    <w:rsid w:val="0085039F"/>
    <w:rsid w:val="008504D5"/>
    <w:rsid w:val="0085057B"/>
    <w:rsid w:val="00850E13"/>
    <w:rsid w:val="0085113D"/>
    <w:rsid w:val="00851198"/>
    <w:rsid w:val="00851487"/>
    <w:rsid w:val="008519BA"/>
    <w:rsid w:val="00851DF3"/>
    <w:rsid w:val="00852005"/>
    <w:rsid w:val="008523BF"/>
    <w:rsid w:val="008525EA"/>
    <w:rsid w:val="00852626"/>
    <w:rsid w:val="00852C65"/>
    <w:rsid w:val="00852EF1"/>
    <w:rsid w:val="008530FB"/>
    <w:rsid w:val="008538D0"/>
    <w:rsid w:val="00854580"/>
    <w:rsid w:val="008549A2"/>
    <w:rsid w:val="00854A70"/>
    <w:rsid w:val="00855596"/>
    <w:rsid w:val="00855618"/>
    <w:rsid w:val="00855CF7"/>
    <w:rsid w:val="00855E05"/>
    <w:rsid w:val="0085603F"/>
    <w:rsid w:val="00856D40"/>
    <w:rsid w:val="00856DBC"/>
    <w:rsid w:val="00856E31"/>
    <w:rsid w:val="0085702D"/>
    <w:rsid w:val="00857137"/>
    <w:rsid w:val="00857252"/>
    <w:rsid w:val="008575B8"/>
    <w:rsid w:val="0085765C"/>
    <w:rsid w:val="00860085"/>
    <w:rsid w:val="00860DAD"/>
    <w:rsid w:val="00860DCE"/>
    <w:rsid w:val="00860E01"/>
    <w:rsid w:val="00861169"/>
    <w:rsid w:val="008615DC"/>
    <w:rsid w:val="00861846"/>
    <w:rsid w:val="00861859"/>
    <w:rsid w:val="00861EF9"/>
    <w:rsid w:val="00861F24"/>
    <w:rsid w:val="00861F2D"/>
    <w:rsid w:val="00862005"/>
    <w:rsid w:val="0086214E"/>
    <w:rsid w:val="00862D31"/>
    <w:rsid w:val="00862F14"/>
    <w:rsid w:val="00863087"/>
    <w:rsid w:val="008631B1"/>
    <w:rsid w:val="008631F9"/>
    <w:rsid w:val="008632B9"/>
    <w:rsid w:val="008633FD"/>
    <w:rsid w:val="008635B1"/>
    <w:rsid w:val="00863947"/>
    <w:rsid w:val="00863E87"/>
    <w:rsid w:val="00864FD9"/>
    <w:rsid w:val="0086504B"/>
    <w:rsid w:val="00865435"/>
    <w:rsid w:val="008658CE"/>
    <w:rsid w:val="00866055"/>
    <w:rsid w:val="0086611B"/>
    <w:rsid w:val="00866174"/>
    <w:rsid w:val="008661C7"/>
    <w:rsid w:val="008661CD"/>
    <w:rsid w:val="00867061"/>
    <w:rsid w:val="00867200"/>
    <w:rsid w:val="00867C20"/>
    <w:rsid w:val="00867C27"/>
    <w:rsid w:val="0087009A"/>
    <w:rsid w:val="0087018B"/>
    <w:rsid w:val="008703C1"/>
    <w:rsid w:val="008704ED"/>
    <w:rsid w:val="008705E5"/>
    <w:rsid w:val="00870676"/>
    <w:rsid w:val="0087083A"/>
    <w:rsid w:val="008709CF"/>
    <w:rsid w:val="00870B32"/>
    <w:rsid w:val="00870EDB"/>
    <w:rsid w:val="008710AD"/>
    <w:rsid w:val="0087125D"/>
    <w:rsid w:val="00871438"/>
    <w:rsid w:val="00871894"/>
    <w:rsid w:val="008720FA"/>
    <w:rsid w:val="00872199"/>
    <w:rsid w:val="008723A4"/>
    <w:rsid w:val="008725A3"/>
    <w:rsid w:val="00872671"/>
    <w:rsid w:val="008726A0"/>
    <w:rsid w:val="008729DB"/>
    <w:rsid w:val="00872BA9"/>
    <w:rsid w:val="00872C03"/>
    <w:rsid w:val="00872D2E"/>
    <w:rsid w:val="008730C1"/>
    <w:rsid w:val="008732E4"/>
    <w:rsid w:val="00873601"/>
    <w:rsid w:val="0087364C"/>
    <w:rsid w:val="0087364D"/>
    <w:rsid w:val="008739EC"/>
    <w:rsid w:val="00873E83"/>
    <w:rsid w:val="00874551"/>
    <w:rsid w:val="0087468B"/>
    <w:rsid w:val="00874B82"/>
    <w:rsid w:val="00874FBD"/>
    <w:rsid w:val="00875872"/>
    <w:rsid w:val="0087625E"/>
    <w:rsid w:val="008763C2"/>
    <w:rsid w:val="00876805"/>
    <w:rsid w:val="00876850"/>
    <w:rsid w:val="0087730F"/>
    <w:rsid w:val="008773F9"/>
    <w:rsid w:val="008800BD"/>
    <w:rsid w:val="0088039C"/>
    <w:rsid w:val="00880E6D"/>
    <w:rsid w:val="00880ED9"/>
    <w:rsid w:val="0088114C"/>
    <w:rsid w:val="0088126E"/>
    <w:rsid w:val="00881391"/>
    <w:rsid w:val="008816A7"/>
    <w:rsid w:val="008819B5"/>
    <w:rsid w:val="00881AA1"/>
    <w:rsid w:val="00881F35"/>
    <w:rsid w:val="008822A4"/>
    <w:rsid w:val="00882343"/>
    <w:rsid w:val="00882F9F"/>
    <w:rsid w:val="008834F9"/>
    <w:rsid w:val="00883F69"/>
    <w:rsid w:val="00884CA9"/>
    <w:rsid w:val="00884D52"/>
    <w:rsid w:val="0088552A"/>
    <w:rsid w:val="00885793"/>
    <w:rsid w:val="00885EE5"/>
    <w:rsid w:val="00886B27"/>
    <w:rsid w:val="00886F9E"/>
    <w:rsid w:val="00887028"/>
    <w:rsid w:val="00887091"/>
    <w:rsid w:val="0088732B"/>
    <w:rsid w:val="00887595"/>
    <w:rsid w:val="00887678"/>
    <w:rsid w:val="008878C9"/>
    <w:rsid w:val="0088796A"/>
    <w:rsid w:val="00887DCB"/>
    <w:rsid w:val="0089077D"/>
    <w:rsid w:val="008913A2"/>
    <w:rsid w:val="00891861"/>
    <w:rsid w:val="0089213F"/>
    <w:rsid w:val="00892222"/>
    <w:rsid w:val="00892607"/>
    <w:rsid w:val="00892724"/>
    <w:rsid w:val="00892CA8"/>
    <w:rsid w:val="00892E4B"/>
    <w:rsid w:val="0089331C"/>
    <w:rsid w:val="00893455"/>
    <w:rsid w:val="0089371F"/>
    <w:rsid w:val="00893EC5"/>
    <w:rsid w:val="00893F6A"/>
    <w:rsid w:val="008946BA"/>
    <w:rsid w:val="00894840"/>
    <w:rsid w:val="00894D4E"/>
    <w:rsid w:val="00894F75"/>
    <w:rsid w:val="00895224"/>
    <w:rsid w:val="008953BC"/>
    <w:rsid w:val="00895AEE"/>
    <w:rsid w:val="00895EE5"/>
    <w:rsid w:val="00896CAF"/>
    <w:rsid w:val="00896D96"/>
    <w:rsid w:val="00896F9D"/>
    <w:rsid w:val="0089742E"/>
    <w:rsid w:val="00897511"/>
    <w:rsid w:val="00897AD3"/>
    <w:rsid w:val="008A063B"/>
    <w:rsid w:val="008A0AF7"/>
    <w:rsid w:val="008A0E12"/>
    <w:rsid w:val="008A11C5"/>
    <w:rsid w:val="008A12BC"/>
    <w:rsid w:val="008A1726"/>
    <w:rsid w:val="008A19AC"/>
    <w:rsid w:val="008A1C53"/>
    <w:rsid w:val="008A2212"/>
    <w:rsid w:val="008A26FE"/>
    <w:rsid w:val="008A2E55"/>
    <w:rsid w:val="008A2F26"/>
    <w:rsid w:val="008A3289"/>
    <w:rsid w:val="008A3339"/>
    <w:rsid w:val="008A3546"/>
    <w:rsid w:val="008A35A9"/>
    <w:rsid w:val="008A4158"/>
    <w:rsid w:val="008A444E"/>
    <w:rsid w:val="008A4511"/>
    <w:rsid w:val="008A4789"/>
    <w:rsid w:val="008A47A0"/>
    <w:rsid w:val="008A47AF"/>
    <w:rsid w:val="008A4A49"/>
    <w:rsid w:val="008A4CE5"/>
    <w:rsid w:val="008A5529"/>
    <w:rsid w:val="008A58DE"/>
    <w:rsid w:val="008A5982"/>
    <w:rsid w:val="008A5BA2"/>
    <w:rsid w:val="008A617F"/>
    <w:rsid w:val="008A6254"/>
    <w:rsid w:val="008A629A"/>
    <w:rsid w:val="008A629B"/>
    <w:rsid w:val="008A6806"/>
    <w:rsid w:val="008A6DB2"/>
    <w:rsid w:val="008A6DD2"/>
    <w:rsid w:val="008A704B"/>
    <w:rsid w:val="008A7303"/>
    <w:rsid w:val="008A7795"/>
    <w:rsid w:val="008A7D7B"/>
    <w:rsid w:val="008A7FF3"/>
    <w:rsid w:val="008B0070"/>
    <w:rsid w:val="008B0122"/>
    <w:rsid w:val="008B02E8"/>
    <w:rsid w:val="008B044B"/>
    <w:rsid w:val="008B0626"/>
    <w:rsid w:val="008B071F"/>
    <w:rsid w:val="008B0B43"/>
    <w:rsid w:val="008B1027"/>
    <w:rsid w:val="008B10CF"/>
    <w:rsid w:val="008B1920"/>
    <w:rsid w:val="008B1A4E"/>
    <w:rsid w:val="008B1D48"/>
    <w:rsid w:val="008B1E8F"/>
    <w:rsid w:val="008B2018"/>
    <w:rsid w:val="008B20F6"/>
    <w:rsid w:val="008B27E1"/>
    <w:rsid w:val="008B2813"/>
    <w:rsid w:val="008B2951"/>
    <w:rsid w:val="008B2B50"/>
    <w:rsid w:val="008B2D7E"/>
    <w:rsid w:val="008B43C4"/>
    <w:rsid w:val="008B48BA"/>
    <w:rsid w:val="008B4A16"/>
    <w:rsid w:val="008B4D15"/>
    <w:rsid w:val="008B559B"/>
    <w:rsid w:val="008B583B"/>
    <w:rsid w:val="008B5A5A"/>
    <w:rsid w:val="008B5C34"/>
    <w:rsid w:val="008B64D8"/>
    <w:rsid w:val="008B6A68"/>
    <w:rsid w:val="008B71A6"/>
    <w:rsid w:val="008B75FF"/>
    <w:rsid w:val="008B7B33"/>
    <w:rsid w:val="008B7FF8"/>
    <w:rsid w:val="008C03F2"/>
    <w:rsid w:val="008C0C2E"/>
    <w:rsid w:val="008C102F"/>
    <w:rsid w:val="008C10E2"/>
    <w:rsid w:val="008C1173"/>
    <w:rsid w:val="008C128A"/>
    <w:rsid w:val="008C145A"/>
    <w:rsid w:val="008C1DD6"/>
    <w:rsid w:val="008C1E7A"/>
    <w:rsid w:val="008C2008"/>
    <w:rsid w:val="008C2059"/>
    <w:rsid w:val="008C206F"/>
    <w:rsid w:val="008C20CA"/>
    <w:rsid w:val="008C2146"/>
    <w:rsid w:val="008C22E0"/>
    <w:rsid w:val="008C2577"/>
    <w:rsid w:val="008C2FA3"/>
    <w:rsid w:val="008C302D"/>
    <w:rsid w:val="008C37CE"/>
    <w:rsid w:val="008C388F"/>
    <w:rsid w:val="008C3EAC"/>
    <w:rsid w:val="008C40CE"/>
    <w:rsid w:val="008C448A"/>
    <w:rsid w:val="008C4AC6"/>
    <w:rsid w:val="008C5353"/>
    <w:rsid w:val="008C643D"/>
    <w:rsid w:val="008C6509"/>
    <w:rsid w:val="008C7244"/>
    <w:rsid w:val="008C725A"/>
    <w:rsid w:val="008C72AB"/>
    <w:rsid w:val="008C76F5"/>
    <w:rsid w:val="008C78FC"/>
    <w:rsid w:val="008C7BEE"/>
    <w:rsid w:val="008D0123"/>
    <w:rsid w:val="008D01DA"/>
    <w:rsid w:val="008D0225"/>
    <w:rsid w:val="008D0354"/>
    <w:rsid w:val="008D038D"/>
    <w:rsid w:val="008D051C"/>
    <w:rsid w:val="008D07DD"/>
    <w:rsid w:val="008D0D9B"/>
    <w:rsid w:val="008D0DF3"/>
    <w:rsid w:val="008D0E47"/>
    <w:rsid w:val="008D0EBB"/>
    <w:rsid w:val="008D0FB0"/>
    <w:rsid w:val="008D0FC2"/>
    <w:rsid w:val="008D1232"/>
    <w:rsid w:val="008D1943"/>
    <w:rsid w:val="008D1A19"/>
    <w:rsid w:val="008D1AE8"/>
    <w:rsid w:val="008D22E0"/>
    <w:rsid w:val="008D28CE"/>
    <w:rsid w:val="008D2B5F"/>
    <w:rsid w:val="008D2C12"/>
    <w:rsid w:val="008D31BF"/>
    <w:rsid w:val="008D3746"/>
    <w:rsid w:val="008D40E0"/>
    <w:rsid w:val="008D457D"/>
    <w:rsid w:val="008D48B5"/>
    <w:rsid w:val="008D5074"/>
    <w:rsid w:val="008D528D"/>
    <w:rsid w:val="008D5475"/>
    <w:rsid w:val="008D57CF"/>
    <w:rsid w:val="008D5A3F"/>
    <w:rsid w:val="008D5AAE"/>
    <w:rsid w:val="008D5E40"/>
    <w:rsid w:val="008D609F"/>
    <w:rsid w:val="008D6A2E"/>
    <w:rsid w:val="008D6C56"/>
    <w:rsid w:val="008D6CA2"/>
    <w:rsid w:val="008D7A22"/>
    <w:rsid w:val="008D7E19"/>
    <w:rsid w:val="008E0499"/>
    <w:rsid w:val="008E04FE"/>
    <w:rsid w:val="008E095A"/>
    <w:rsid w:val="008E0A56"/>
    <w:rsid w:val="008E0CB4"/>
    <w:rsid w:val="008E0D27"/>
    <w:rsid w:val="008E0EDE"/>
    <w:rsid w:val="008E1085"/>
    <w:rsid w:val="008E10B4"/>
    <w:rsid w:val="008E1384"/>
    <w:rsid w:val="008E1491"/>
    <w:rsid w:val="008E1D9E"/>
    <w:rsid w:val="008E295A"/>
    <w:rsid w:val="008E2A0E"/>
    <w:rsid w:val="008E2AFB"/>
    <w:rsid w:val="008E2BEE"/>
    <w:rsid w:val="008E3375"/>
    <w:rsid w:val="008E35FA"/>
    <w:rsid w:val="008E3CBF"/>
    <w:rsid w:val="008E3D70"/>
    <w:rsid w:val="008E4405"/>
    <w:rsid w:val="008E440D"/>
    <w:rsid w:val="008E4B1E"/>
    <w:rsid w:val="008E52CC"/>
    <w:rsid w:val="008E6409"/>
    <w:rsid w:val="008E678C"/>
    <w:rsid w:val="008E6AE1"/>
    <w:rsid w:val="008E6C52"/>
    <w:rsid w:val="008E6C6E"/>
    <w:rsid w:val="008E6FB4"/>
    <w:rsid w:val="008E6FE4"/>
    <w:rsid w:val="008E7CDC"/>
    <w:rsid w:val="008F0398"/>
    <w:rsid w:val="008F0785"/>
    <w:rsid w:val="008F0996"/>
    <w:rsid w:val="008F0AB3"/>
    <w:rsid w:val="008F0AE8"/>
    <w:rsid w:val="008F0D09"/>
    <w:rsid w:val="008F10DF"/>
    <w:rsid w:val="008F114D"/>
    <w:rsid w:val="008F1764"/>
    <w:rsid w:val="008F1D5B"/>
    <w:rsid w:val="008F21FD"/>
    <w:rsid w:val="008F2310"/>
    <w:rsid w:val="008F241E"/>
    <w:rsid w:val="008F256E"/>
    <w:rsid w:val="008F2637"/>
    <w:rsid w:val="008F28A1"/>
    <w:rsid w:val="008F292A"/>
    <w:rsid w:val="008F3118"/>
    <w:rsid w:val="008F3A85"/>
    <w:rsid w:val="008F3BE0"/>
    <w:rsid w:val="008F43B1"/>
    <w:rsid w:val="008F62B1"/>
    <w:rsid w:val="008F65ED"/>
    <w:rsid w:val="008F6747"/>
    <w:rsid w:val="008F677A"/>
    <w:rsid w:val="008F6A22"/>
    <w:rsid w:val="008F6C31"/>
    <w:rsid w:val="008F6E81"/>
    <w:rsid w:val="008F7045"/>
    <w:rsid w:val="008F7130"/>
    <w:rsid w:val="008F7446"/>
    <w:rsid w:val="008F75FD"/>
    <w:rsid w:val="0090081D"/>
    <w:rsid w:val="00900B24"/>
    <w:rsid w:val="00900E4E"/>
    <w:rsid w:val="00901024"/>
    <w:rsid w:val="0090115A"/>
    <w:rsid w:val="009015BF"/>
    <w:rsid w:val="009018EE"/>
    <w:rsid w:val="00901998"/>
    <w:rsid w:val="009020A8"/>
    <w:rsid w:val="00902428"/>
    <w:rsid w:val="00902DD7"/>
    <w:rsid w:val="00902F8C"/>
    <w:rsid w:val="0090383E"/>
    <w:rsid w:val="009039BB"/>
    <w:rsid w:val="009042A7"/>
    <w:rsid w:val="00904CB9"/>
    <w:rsid w:val="009057C2"/>
    <w:rsid w:val="0090647E"/>
    <w:rsid w:val="00906783"/>
    <w:rsid w:val="009069D8"/>
    <w:rsid w:val="00906CC9"/>
    <w:rsid w:val="00906E0E"/>
    <w:rsid w:val="00910069"/>
    <w:rsid w:val="00910806"/>
    <w:rsid w:val="00910AFA"/>
    <w:rsid w:val="0091131A"/>
    <w:rsid w:val="009115C9"/>
    <w:rsid w:val="0091183C"/>
    <w:rsid w:val="009120BD"/>
    <w:rsid w:val="009121BC"/>
    <w:rsid w:val="00912843"/>
    <w:rsid w:val="00912A4F"/>
    <w:rsid w:val="00912C1B"/>
    <w:rsid w:val="00912CE8"/>
    <w:rsid w:val="009139F0"/>
    <w:rsid w:val="0091414F"/>
    <w:rsid w:val="009144CB"/>
    <w:rsid w:val="0091453D"/>
    <w:rsid w:val="0091454B"/>
    <w:rsid w:val="00914912"/>
    <w:rsid w:val="00914F6D"/>
    <w:rsid w:val="00915AAA"/>
    <w:rsid w:val="009162B8"/>
    <w:rsid w:val="009168DF"/>
    <w:rsid w:val="00916A02"/>
    <w:rsid w:val="00916DD3"/>
    <w:rsid w:val="0091722A"/>
    <w:rsid w:val="0091743F"/>
    <w:rsid w:val="0091744C"/>
    <w:rsid w:val="00917EA9"/>
    <w:rsid w:val="00917FAF"/>
    <w:rsid w:val="00920E43"/>
    <w:rsid w:val="00920F74"/>
    <w:rsid w:val="00920FD4"/>
    <w:rsid w:val="0092133D"/>
    <w:rsid w:val="0092156F"/>
    <w:rsid w:val="0092170A"/>
    <w:rsid w:val="00922540"/>
    <w:rsid w:val="00922944"/>
    <w:rsid w:val="00922BB9"/>
    <w:rsid w:val="00922BD2"/>
    <w:rsid w:val="00922E4F"/>
    <w:rsid w:val="00923924"/>
    <w:rsid w:val="00923E42"/>
    <w:rsid w:val="00923E4E"/>
    <w:rsid w:val="00923EE0"/>
    <w:rsid w:val="00923F39"/>
    <w:rsid w:val="00924040"/>
    <w:rsid w:val="0092438F"/>
    <w:rsid w:val="009244F1"/>
    <w:rsid w:val="0092489C"/>
    <w:rsid w:val="00924AD1"/>
    <w:rsid w:val="00924F82"/>
    <w:rsid w:val="00925240"/>
    <w:rsid w:val="00925339"/>
    <w:rsid w:val="0092570A"/>
    <w:rsid w:val="0092574B"/>
    <w:rsid w:val="00925B66"/>
    <w:rsid w:val="00925BCF"/>
    <w:rsid w:val="00925E3A"/>
    <w:rsid w:val="00925EBC"/>
    <w:rsid w:val="00926064"/>
    <w:rsid w:val="009260A4"/>
    <w:rsid w:val="00926231"/>
    <w:rsid w:val="00926237"/>
    <w:rsid w:val="0092687A"/>
    <w:rsid w:val="009277FB"/>
    <w:rsid w:val="0092783E"/>
    <w:rsid w:val="00927D82"/>
    <w:rsid w:val="00930139"/>
    <w:rsid w:val="009308FD"/>
    <w:rsid w:val="00930BB1"/>
    <w:rsid w:val="00931020"/>
    <w:rsid w:val="00931352"/>
    <w:rsid w:val="009319DB"/>
    <w:rsid w:val="00932069"/>
    <w:rsid w:val="009322E0"/>
    <w:rsid w:val="00932739"/>
    <w:rsid w:val="00932995"/>
    <w:rsid w:val="00932B19"/>
    <w:rsid w:val="00932DBC"/>
    <w:rsid w:val="00933555"/>
    <w:rsid w:val="0093356C"/>
    <w:rsid w:val="0093385B"/>
    <w:rsid w:val="00933C10"/>
    <w:rsid w:val="009341BB"/>
    <w:rsid w:val="009343E5"/>
    <w:rsid w:val="00934429"/>
    <w:rsid w:val="00934BFD"/>
    <w:rsid w:val="009351CE"/>
    <w:rsid w:val="00935348"/>
    <w:rsid w:val="00935B45"/>
    <w:rsid w:val="0093690F"/>
    <w:rsid w:val="00936C8C"/>
    <w:rsid w:val="00936F8F"/>
    <w:rsid w:val="00937868"/>
    <w:rsid w:val="00940080"/>
    <w:rsid w:val="0094009A"/>
    <w:rsid w:val="0094046A"/>
    <w:rsid w:val="00940885"/>
    <w:rsid w:val="009408CD"/>
    <w:rsid w:val="009408E5"/>
    <w:rsid w:val="00940996"/>
    <w:rsid w:val="00940D06"/>
    <w:rsid w:val="00940F21"/>
    <w:rsid w:val="0094104F"/>
    <w:rsid w:val="00941736"/>
    <w:rsid w:val="009417D5"/>
    <w:rsid w:val="00941F00"/>
    <w:rsid w:val="009420B0"/>
    <w:rsid w:val="0094217A"/>
    <w:rsid w:val="00942460"/>
    <w:rsid w:val="0094272C"/>
    <w:rsid w:val="00942B1F"/>
    <w:rsid w:val="0094340F"/>
    <w:rsid w:val="0094343E"/>
    <w:rsid w:val="0094393D"/>
    <w:rsid w:val="00943B9D"/>
    <w:rsid w:val="00943FFB"/>
    <w:rsid w:val="0094422F"/>
    <w:rsid w:val="0094452E"/>
    <w:rsid w:val="009446D6"/>
    <w:rsid w:val="00944D6E"/>
    <w:rsid w:val="00945540"/>
    <w:rsid w:val="00945A19"/>
    <w:rsid w:val="00945AB9"/>
    <w:rsid w:val="009461C3"/>
    <w:rsid w:val="0094653B"/>
    <w:rsid w:val="00946B0F"/>
    <w:rsid w:val="00946D14"/>
    <w:rsid w:val="00947065"/>
    <w:rsid w:val="00947261"/>
    <w:rsid w:val="00947D7A"/>
    <w:rsid w:val="00947EBE"/>
    <w:rsid w:val="0095018F"/>
    <w:rsid w:val="009503C8"/>
    <w:rsid w:val="00950940"/>
    <w:rsid w:val="00950E74"/>
    <w:rsid w:val="009513FE"/>
    <w:rsid w:val="00951414"/>
    <w:rsid w:val="0095162F"/>
    <w:rsid w:val="00951699"/>
    <w:rsid w:val="0095198C"/>
    <w:rsid w:val="00951EC0"/>
    <w:rsid w:val="00952059"/>
    <w:rsid w:val="00952204"/>
    <w:rsid w:val="00952342"/>
    <w:rsid w:val="00952A40"/>
    <w:rsid w:val="009532A9"/>
    <w:rsid w:val="00953502"/>
    <w:rsid w:val="00953765"/>
    <w:rsid w:val="00954135"/>
    <w:rsid w:val="009543FB"/>
    <w:rsid w:val="00954760"/>
    <w:rsid w:val="009547CC"/>
    <w:rsid w:val="00954933"/>
    <w:rsid w:val="009549B1"/>
    <w:rsid w:val="00954F9D"/>
    <w:rsid w:val="00955ADE"/>
    <w:rsid w:val="009561A2"/>
    <w:rsid w:val="0095670B"/>
    <w:rsid w:val="00956B73"/>
    <w:rsid w:val="00956DC9"/>
    <w:rsid w:val="00960177"/>
    <w:rsid w:val="009608E6"/>
    <w:rsid w:val="009610C2"/>
    <w:rsid w:val="009613B2"/>
    <w:rsid w:val="00961A0D"/>
    <w:rsid w:val="00961E42"/>
    <w:rsid w:val="009620BA"/>
    <w:rsid w:val="0096216A"/>
    <w:rsid w:val="00962D26"/>
    <w:rsid w:val="009631BA"/>
    <w:rsid w:val="0096351D"/>
    <w:rsid w:val="00963EC9"/>
    <w:rsid w:val="009653ED"/>
    <w:rsid w:val="00965A40"/>
    <w:rsid w:val="00965B24"/>
    <w:rsid w:val="00965B40"/>
    <w:rsid w:val="00965C2C"/>
    <w:rsid w:val="00966516"/>
    <w:rsid w:val="00966557"/>
    <w:rsid w:val="0096722C"/>
    <w:rsid w:val="00967CEE"/>
    <w:rsid w:val="0097006E"/>
    <w:rsid w:val="00970104"/>
    <w:rsid w:val="009701EB"/>
    <w:rsid w:val="00970C63"/>
    <w:rsid w:val="00971C39"/>
    <w:rsid w:val="00972009"/>
    <w:rsid w:val="009720F5"/>
    <w:rsid w:val="00972679"/>
    <w:rsid w:val="00972861"/>
    <w:rsid w:val="00972F80"/>
    <w:rsid w:val="00972FF5"/>
    <w:rsid w:val="00973E93"/>
    <w:rsid w:val="00973FB9"/>
    <w:rsid w:val="009746C9"/>
    <w:rsid w:val="0097502B"/>
    <w:rsid w:val="00975067"/>
    <w:rsid w:val="009753FB"/>
    <w:rsid w:val="00975E8D"/>
    <w:rsid w:val="00976113"/>
    <w:rsid w:val="00976681"/>
    <w:rsid w:val="00976AEE"/>
    <w:rsid w:val="00977035"/>
    <w:rsid w:val="009773BA"/>
    <w:rsid w:val="0097775A"/>
    <w:rsid w:val="009778BE"/>
    <w:rsid w:val="00977B5B"/>
    <w:rsid w:val="00977E0B"/>
    <w:rsid w:val="00977F55"/>
    <w:rsid w:val="009802BD"/>
    <w:rsid w:val="00980A8B"/>
    <w:rsid w:val="00980EE6"/>
    <w:rsid w:val="0098113F"/>
    <w:rsid w:val="00981977"/>
    <w:rsid w:val="00981CDB"/>
    <w:rsid w:val="00981E3F"/>
    <w:rsid w:val="0098221C"/>
    <w:rsid w:val="00982562"/>
    <w:rsid w:val="009827F3"/>
    <w:rsid w:val="00982859"/>
    <w:rsid w:val="00982BCE"/>
    <w:rsid w:val="00982C55"/>
    <w:rsid w:val="0098332B"/>
    <w:rsid w:val="00983B31"/>
    <w:rsid w:val="00983F8E"/>
    <w:rsid w:val="009846FA"/>
    <w:rsid w:val="009854D7"/>
    <w:rsid w:val="009857B1"/>
    <w:rsid w:val="00985D75"/>
    <w:rsid w:val="00985FFA"/>
    <w:rsid w:val="00986148"/>
    <w:rsid w:val="009866DB"/>
    <w:rsid w:val="009867F3"/>
    <w:rsid w:val="0098711C"/>
    <w:rsid w:val="009872C4"/>
    <w:rsid w:val="0098744B"/>
    <w:rsid w:val="009879A9"/>
    <w:rsid w:val="00987F00"/>
    <w:rsid w:val="00990220"/>
    <w:rsid w:val="00990348"/>
    <w:rsid w:val="00990B48"/>
    <w:rsid w:val="00990D42"/>
    <w:rsid w:val="00990F92"/>
    <w:rsid w:val="00990FEB"/>
    <w:rsid w:val="009914F3"/>
    <w:rsid w:val="00991544"/>
    <w:rsid w:val="009917BC"/>
    <w:rsid w:val="00992400"/>
    <w:rsid w:val="00992425"/>
    <w:rsid w:val="00992A38"/>
    <w:rsid w:val="00992E78"/>
    <w:rsid w:val="0099302C"/>
    <w:rsid w:val="009932E3"/>
    <w:rsid w:val="00994165"/>
    <w:rsid w:val="009941B2"/>
    <w:rsid w:val="0099450D"/>
    <w:rsid w:val="009945DC"/>
    <w:rsid w:val="0099474C"/>
    <w:rsid w:val="009948AD"/>
    <w:rsid w:val="00994A8B"/>
    <w:rsid w:val="00994C26"/>
    <w:rsid w:val="0099519D"/>
    <w:rsid w:val="009953F5"/>
    <w:rsid w:val="009955DC"/>
    <w:rsid w:val="00995E6A"/>
    <w:rsid w:val="009960D5"/>
    <w:rsid w:val="00996A30"/>
    <w:rsid w:val="00996BEE"/>
    <w:rsid w:val="00996FD6"/>
    <w:rsid w:val="009970C4"/>
    <w:rsid w:val="009972F0"/>
    <w:rsid w:val="00997976"/>
    <w:rsid w:val="00997F34"/>
    <w:rsid w:val="009A0319"/>
    <w:rsid w:val="009A0447"/>
    <w:rsid w:val="009A0E66"/>
    <w:rsid w:val="009A11F9"/>
    <w:rsid w:val="009A14E2"/>
    <w:rsid w:val="009A1538"/>
    <w:rsid w:val="009A1631"/>
    <w:rsid w:val="009A1824"/>
    <w:rsid w:val="009A1DFA"/>
    <w:rsid w:val="009A20F9"/>
    <w:rsid w:val="009A223A"/>
    <w:rsid w:val="009A27BE"/>
    <w:rsid w:val="009A2AA5"/>
    <w:rsid w:val="009A3174"/>
    <w:rsid w:val="009A36C9"/>
    <w:rsid w:val="009A3863"/>
    <w:rsid w:val="009A435D"/>
    <w:rsid w:val="009A4453"/>
    <w:rsid w:val="009A447A"/>
    <w:rsid w:val="009A4611"/>
    <w:rsid w:val="009A47CD"/>
    <w:rsid w:val="009A488D"/>
    <w:rsid w:val="009A4AFE"/>
    <w:rsid w:val="009A4D76"/>
    <w:rsid w:val="009A4D9E"/>
    <w:rsid w:val="009A56DB"/>
    <w:rsid w:val="009A5778"/>
    <w:rsid w:val="009A5AA0"/>
    <w:rsid w:val="009A6509"/>
    <w:rsid w:val="009A65CD"/>
    <w:rsid w:val="009A68B8"/>
    <w:rsid w:val="009A69D5"/>
    <w:rsid w:val="009A70C8"/>
    <w:rsid w:val="009A7890"/>
    <w:rsid w:val="009A7CC3"/>
    <w:rsid w:val="009A7F49"/>
    <w:rsid w:val="009B08D0"/>
    <w:rsid w:val="009B090B"/>
    <w:rsid w:val="009B0CB8"/>
    <w:rsid w:val="009B0DF3"/>
    <w:rsid w:val="009B1A27"/>
    <w:rsid w:val="009B1C7C"/>
    <w:rsid w:val="009B1E18"/>
    <w:rsid w:val="009B1EF5"/>
    <w:rsid w:val="009B1F19"/>
    <w:rsid w:val="009B1F8C"/>
    <w:rsid w:val="009B2A38"/>
    <w:rsid w:val="009B3758"/>
    <w:rsid w:val="009B3C17"/>
    <w:rsid w:val="009B4678"/>
    <w:rsid w:val="009B496C"/>
    <w:rsid w:val="009B4CEC"/>
    <w:rsid w:val="009B523A"/>
    <w:rsid w:val="009B5E60"/>
    <w:rsid w:val="009B66A6"/>
    <w:rsid w:val="009B6BB5"/>
    <w:rsid w:val="009B6F9B"/>
    <w:rsid w:val="009B7015"/>
    <w:rsid w:val="009B7D43"/>
    <w:rsid w:val="009B7E9B"/>
    <w:rsid w:val="009C0F03"/>
    <w:rsid w:val="009C107A"/>
    <w:rsid w:val="009C1215"/>
    <w:rsid w:val="009C1391"/>
    <w:rsid w:val="009C16AF"/>
    <w:rsid w:val="009C1AC1"/>
    <w:rsid w:val="009C2A88"/>
    <w:rsid w:val="009C33D6"/>
    <w:rsid w:val="009C3C53"/>
    <w:rsid w:val="009C3CAE"/>
    <w:rsid w:val="009C45E1"/>
    <w:rsid w:val="009C4990"/>
    <w:rsid w:val="009C4DBC"/>
    <w:rsid w:val="009C50F7"/>
    <w:rsid w:val="009C556A"/>
    <w:rsid w:val="009C5591"/>
    <w:rsid w:val="009C563B"/>
    <w:rsid w:val="009C593F"/>
    <w:rsid w:val="009C5EBF"/>
    <w:rsid w:val="009C614E"/>
    <w:rsid w:val="009C674F"/>
    <w:rsid w:val="009C6795"/>
    <w:rsid w:val="009C680B"/>
    <w:rsid w:val="009C6F89"/>
    <w:rsid w:val="009C7029"/>
    <w:rsid w:val="009C7936"/>
    <w:rsid w:val="009C7B43"/>
    <w:rsid w:val="009C7CED"/>
    <w:rsid w:val="009C7E55"/>
    <w:rsid w:val="009D0424"/>
    <w:rsid w:val="009D129C"/>
    <w:rsid w:val="009D166D"/>
    <w:rsid w:val="009D1ACC"/>
    <w:rsid w:val="009D2500"/>
    <w:rsid w:val="009D2534"/>
    <w:rsid w:val="009D26AA"/>
    <w:rsid w:val="009D2C74"/>
    <w:rsid w:val="009D2D25"/>
    <w:rsid w:val="009D3080"/>
    <w:rsid w:val="009D36AC"/>
    <w:rsid w:val="009D38A1"/>
    <w:rsid w:val="009D4343"/>
    <w:rsid w:val="009D44C2"/>
    <w:rsid w:val="009D48EE"/>
    <w:rsid w:val="009D49A1"/>
    <w:rsid w:val="009D5609"/>
    <w:rsid w:val="009D56F2"/>
    <w:rsid w:val="009D5989"/>
    <w:rsid w:val="009D6149"/>
    <w:rsid w:val="009D6355"/>
    <w:rsid w:val="009D64A9"/>
    <w:rsid w:val="009D69EA"/>
    <w:rsid w:val="009D6FE3"/>
    <w:rsid w:val="009D735B"/>
    <w:rsid w:val="009D76CF"/>
    <w:rsid w:val="009D78B6"/>
    <w:rsid w:val="009D78DA"/>
    <w:rsid w:val="009D79F3"/>
    <w:rsid w:val="009D7AD2"/>
    <w:rsid w:val="009D7D8A"/>
    <w:rsid w:val="009D7F52"/>
    <w:rsid w:val="009E00D9"/>
    <w:rsid w:val="009E01D2"/>
    <w:rsid w:val="009E028A"/>
    <w:rsid w:val="009E0599"/>
    <w:rsid w:val="009E0DAC"/>
    <w:rsid w:val="009E1165"/>
    <w:rsid w:val="009E122F"/>
    <w:rsid w:val="009E1378"/>
    <w:rsid w:val="009E188C"/>
    <w:rsid w:val="009E18F3"/>
    <w:rsid w:val="009E1CA3"/>
    <w:rsid w:val="009E20E3"/>
    <w:rsid w:val="009E20FC"/>
    <w:rsid w:val="009E24A8"/>
    <w:rsid w:val="009E2520"/>
    <w:rsid w:val="009E29B2"/>
    <w:rsid w:val="009E2DBE"/>
    <w:rsid w:val="009E3163"/>
    <w:rsid w:val="009E322D"/>
    <w:rsid w:val="009E3AA9"/>
    <w:rsid w:val="009E446D"/>
    <w:rsid w:val="009E47FB"/>
    <w:rsid w:val="009E4EE3"/>
    <w:rsid w:val="009E5E2C"/>
    <w:rsid w:val="009E5FA2"/>
    <w:rsid w:val="009E5FF2"/>
    <w:rsid w:val="009E609F"/>
    <w:rsid w:val="009E6A97"/>
    <w:rsid w:val="009E72DF"/>
    <w:rsid w:val="009E7356"/>
    <w:rsid w:val="009E798E"/>
    <w:rsid w:val="009E7A75"/>
    <w:rsid w:val="009F01C5"/>
    <w:rsid w:val="009F0276"/>
    <w:rsid w:val="009F05F0"/>
    <w:rsid w:val="009F067C"/>
    <w:rsid w:val="009F0ED1"/>
    <w:rsid w:val="009F0EFA"/>
    <w:rsid w:val="009F1032"/>
    <w:rsid w:val="009F10EE"/>
    <w:rsid w:val="009F1A88"/>
    <w:rsid w:val="009F2444"/>
    <w:rsid w:val="009F2D39"/>
    <w:rsid w:val="009F3214"/>
    <w:rsid w:val="009F361B"/>
    <w:rsid w:val="009F3703"/>
    <w:rsid w:val="009F3922"/>
    <w:rsid w:val="009F4BAB"/>
    <w:rsid w:val="009F4D74"/>
    <w:rsid w:val="009F517F"/>
    <w:rsid w:val="009F5390"/>
    <w:rsid w:val="009F558C"/>
    <w:rsid w:val="009F57E3"/>
    <w:rsid w:val="009F5BFF"/>
    <w:rsid w:val="009F5EF5"/>
    <w:rsid w:val="009F6069"/>
    <w:rsid w:val="009F6405"/>
    <w:rsid w:val="009F6B0B"/>
    <w:rsid w:val="009F6B46"/>
    <w:rsid w:val="009F6D31"/>
    <w:rsid w:val="009F6DF1"/>
    <w:rsid w:val="009F7158"/>
    <w:rsid w:val="009F760A"/>
    <w:rsid w:val="009F76BC"/>
    <w:rsid w:val="009F7B52"/>
    <w:rsid w:val="009F7FFB"/>
    <w:rsid w:val="00A00111"/>
    <w:rsid w:val="00A00702"/>
    <w:rsid w:val="00A00A48"/>
    <w:rsid w:val="00A00F17"/>
    <w:rsid w:val="00A01212"/>
    <w:rsid w:val="00A014DB"/>
    <w:rsid w:val="00A015E7"/>
    <w:rsid w:val="00A01E25"/>
    <w:rsid w:val="00A022C1"/>
    <w:rsid w:val="00A02776"/>
    <w:rsid w:val="00A028FE"/>
    <w:rsid w:val="00A02A15"/>
    <w:rsid w:val="00A02B7B"/>
    <w:rsid w:val="00A02CF0"/>
    <w:rsid w:val="00A02F09"/>
    <w:rsid w:val="00A03D9C"/>
    <w:rsid w:val="00A03DCF"/>
    <w:rsid w:val="00A04406"/>
    <w:rsid w:val="00A04619"/>
    <w:rsid w:val="00A0558E"/>
    <w:rsid w:val="00A0576C"/>
    <w:rsid w:val="00A057F9"/>
    <w:rsid w:val="00A071E2"/>
    <w:rsid w:val="00A07A69"/>
    <w:rsid w:val="00A07CC7"/>
    <w:rsid w:val="00A10238"/>
    <w:rsid w:val="00A102F5"/>
    <w:rsid w:val="00A1035C"/>
    <w:rsid w:val="00A10971"/>
    <w:rsid w:val="00A112FC"/>
    <w:rsid w:val="00A1162F"/>
    <w:rsid w:val="00A11B5D"/>
    <w:rsid w:val="00A11F35"/>
    <w:rsid w:val="00A12820"/>
    <w:rsid w:val="00A1283F"/>
    <w:rsid w:val="00A12E67"/>
    <w:rsid w:val="00A131B4"/>
    <w:rsid w:val="00A13312"/>
    <w:rsid w:val="00A13440"/>
    <w:rsid w:val="00A13D87"/>
    <w:rsid w:val="00A1441C"/>
    <w:rsid w:val="00A14732"/>
    <w:rsid w:val="00A14861"/>
    <w:rsid w:val="00A14B1E"/>
    <w:rsid w:val="00A14D6E"/>
    <w:rsid w:val="00A15427"/>
    <w:rsid w:val="00A154BC"/>
    <w:rsid w:val="00A155B7"/>
    <w:rsid w:val="00A15E3B"/>
    <w:rsid w:val="00A16034"/>
    <w:rsid w:val="00A16A6D"/>
    <w:rsid w:val="00A171B9"/>
    <w:rsid w:val="00A171E1"/>
    <w:rsid w:val="00A17F7A"/>
    <w:rsid w:val="00A20126"/>
    <w:rsid w:val="00A201A5"/>
    <w:rsid w:val="00A20288"/>
    <w:rsid w:val="00A20A54"/>
    <w:rsid w:val="00A20BCD"/>
    <w:rsid w:val="00A20C9B"/>
    <w:rsid w:val="00A2179E"/>
    <w:rsid w:val="00A219B5"/>
    <w:rsid w:val="00A22224"/>
    <w:rsid w:val="00A2283C"/>
    <w:rsid w:val="00A22AF1"/>
    <w:rsid w:val="00A22D9C"/>
    <w:rsid w:val="00A23391"/>
    <w:rsid w:val="00A235ED"/>
    <w:rsid w:val="00A236B6"/>
    <w:rsid w:val="00A239D5"/>
    <w:rsid w:val="00A23B94"/>
    <w:rsid w:val="00A23E6F"/>
    <w:rsid w:val="00A23FB5"/>
    <w:rsid w:val="00A2437F"/>
    <w:rsid w:val="00A243DD"/>
    <w:rsid w:val="00A244E4"/>
    <w:rsid w:val="00A2454B"/>
    <w:rsid w:val="00A245CB"/>
    <w:rsid w:val="00A247BC"/>
    <w:rsid w:val="00A24BB7"/>
    <w:rsid w:val="00A24FF9"/>
    <w:rsid w:val="00A26105"/>
    <w:rsid w:val="00A26487"/>
    <w:rsid w:val="00A264FC"/>
    <w:rsid w:val="00A2663A"/>
    <w:rsid w:val="00A26E57"/>
    <w:rsid w:val="00A26F0E"/>
    <w:rsid w:val="00A27538"/>
    <w:rsid w:val="00A2788F"/>
    <w:rsid w:val="00A279A0"/>
    <w:rsid w:val="00A27AD0"/>
    <w:rsid w:val="00A27BC2"/>
    <w:rsid w:val="00A27E6D"/>
    <w:rsid w:val="00A300AB"/>
    <w:rsid w:val="00A300CE"/>
    <w:rsid w:val="00A3019E"/>
    <w:rsid w:val="00A304CF"/>
    <w:rsid w:val="00A3068F"/>
    <w:rsid w:val="00A30897"/>
    <w:rsid w:val="00A3089A"/>
    <w:rsid w:val="00A30BC0"/>
    <w:rsid w:val="00A3109E"/>
    <w:rsid w:val="00A31201"/>
    <w:rsid w:val="00A31485"/>
    <w:rsid w:val="00A31AE3"/>
    <w:rsid w:val="00A3229D"/>
    <w:rsid w:val="00A32344"/>
    <w:rsid w:val="00A32420"/>
    <w:rsid w:val="00A326FF"/>
    <w:rsid w:val="00A32B1B"/>
    <w:rsid w:val="00A3345C"/>
    <w:rsid w:val="00A33601"/>
    <w:rsid w:val="00A337F9"/>
    <w:rsid w:val="00A339A8"/>
    <w:rsid w:val="00A33D8A"/>
    <w:rsid w:val="00A34206"/>
    <w:rsid w:val="00A34732"/>
    <w:rsid w:val="00A347F4"/>
    <w:rsid w:val="00A350EF"/>
    <w:rsid w:val="00A3555B"/>
    <w:rsid w:val="00A35B77"/>
    <w:rsid w:val="00A35C88"/>
    <w:rsid w:val="00A3613F"/>
    <w:rsid w:val="00A36168"/>
    <w:rsid w:val="00A366AF"/>
    <w:rsid w:val="00A36EDD"/>
    <w:rsid w:val="00A36FBE"/>
    <w:rsid w:val="00A3784B"/>
    <w:rsid w:val="00A401F6"/>
    <w:rsid w:val="00A40285"/>
    <w:rsid w:val="00A40344"/>
    <w:rsid w:val="00A40593"/>
    <w:rsid w:val="00A40C81"/>
    <w:rsid w:val="00A41094"/>
    <w:rsid w:val="00A419F3"/>
    <w:rsid w:val="00A41AD1"/>
    <w:rsid w:val="00A41D94"/>
    <w:rsid w:val="00A42023"/>
    <w:rsid w:val="00A4222A"/>
    <w:rsid w:val="00A4253F"/>
    <w:rsid w:val="00A426E1"/>
    <w:rsid w:val="00A42801"/>
    <w:rsid w:val="00A42B4D"/>
    <w:rsid w:val="00A43381"/>
    <w:rsid w:val="00A43987"/>
    <w:rsid w:val="00A439A7"/>
    <w:rsid w:val="00A43BFB"/>
    <w:rsid w:val="00A43FAC"/>
    <w:rsid w:val="00A44FF9"/>
    <w:rsid w:val="00A453B7"/>
    <w:rsid w:val="00A455DE"/>
    <w:rsid w:val="00A45624"/>
    <w:rsid w:val="00A4582E"/>
    <w:rsid w:val="00A4588B"/>
    <w:rsid w:val="00A45900"/>
    <w:rsid w:val="00A4644E"/>
    <w:rsid w:val="00A466B3"/>
    <w:rsid w:val="00A47760"/>
    <w:rsid w:val="00A503EB"/>
    <w:rsid w:val="00A5041B"/>
    <w:rsid w:val="00A5063C"/>
    <w:rsid w:val="00A514E8"/>
    <w:rsid w:val="00A51DB5"/>
    <w:rsid w:val="00A51EDE"/>
    <w:rsid w:val="00A520A1"/>
    <w:rsid w:val="00A5235C"/>
    <w:rsid w:val="00A5282A"/>
    <w:rsid w:val="00A52998"/>
    <w:rsid w:val="00A52AF8"/>
    <w:rsid w:val="00A52B4B"/>
    <w:rsid w:val="00A52DB9"/>
    <w:rsid w:val="00A5318B"/>
    <w:rsid w:val="00A53402"/>
    <w:rsid w:val="00A53678"/>
    <w:rsid w:val="00A5374C"/>
    <w:rsid w:val="00A53D45"/>
    <w:rsid w:val="00A54437"/>
    <w:rsid w:val="00A54508"/>
    <w:rsid w:val="00A5487E"/>
    <w:rsid w:val="00A54A50"/>
    <w:rsid w:val="00A54B7D"/>
    <w:rsid w:val="00A54E77"/>
    <w:rsid w:val="00A55817"/>
    <w:rsid w:val="00A560D6"/>
    <w:rsid w:val="00A5613E"/>
    <w:rsid w:val="00A562CC"/>
    <w:rsid w:val="00A562FE"/>
    <w:rsid w:val="00A56447"/>
    <w:rsid w:val="00A564F1"/>
    <w:rsid w:val="00A56B0D"/>
    <w:rsid w:val="00A56FB3"/>
    <w:rsid w:val="00A5706D"/>
    <w:rsid w:val="00A572E9"/>
    <w:rsid w:val="00A57775"/>
    <w:rsid w:val="00A57A51"/>
    <w:rsid w:val="00A57F6B"/>
    <w:rsid w:val="00A600C1"/>
    <w:rsid w:val="00A60243"/>
    <w:rsid w:val="00A60355"/>
    <w:rsid w:val="00A616AE"/>
    <w:rsid w:val="00A616DA"/>
    <w:rsid w:val="00A61826"/>
    <w:rsid w:val="00A61AEB"/>
    <w:rsid w:val="00A61BE8"/>
    <w:rsid w:val="00A61CA3"/>
    <w:rsid w:val="00A61D01"/>
    <w:rsid w:val="00A61D0E"/>
    <w:rsid w:val="00A62079"/>
    <w:rsid w:val="00A625FC"/>
    <w:rsid w:val="00A62614"/>
    <w:rsid w:val="00A62995"/>
    <w:rsid w:val="00A62F57"/>
    <w:rsid w:val="00A6334A"/>
    <w:rsid w:val="00A6365F"/>
    <w:rsid w:val="00A636A0"/>
    <w:rsid w:val="00A63860"/>
    <w:rsid w:val="00A64219"/>
    <w:rsid w:val="00A64451"/>
    <w:rsid w:val="00A645FA"/>
    <w:rsid w:val="00A64792"/>
    <w:rsid w:val="00A6648C"/>
    <w:rsid w:val="00A66F4E"/>
    <w:rsid w:val="00A67C23"/>
    <w:rsid w:val="00A70179"/>
    <w:rsid w:val="00A708E0"/>
    <w:rsid w:val="00A71026"/>
    <w:rsid w:val="00A7185D"/>
    <w:rsid w:val="00A719D7"/>
    <w:rsid w:val="00A71AD9"/>
    <w:rsid w:val="00A71CA2"/>
    <w:rsid w:val="00A71EC5"/>
    <w:rsid w:val="00A7268C"/>
    <w:rsid w:val="00A73337"/>
    <w:rsid w:val="00A73D7F"/>
    <w:rsid w:val="00A740D8"/>
    <w:rsid w:val="00A74241"/>
    <w:rsid w:val="00A7429E"/>
    <w:rsid w:val="00A743CF"/>
    <w:rsid w:val="00A7443A"/>
    <w:rsid w:val="00A74561"/>
    <w:rsid w:val="00A74C32"/>
    <w:rsid w:val="00A74EDC"/>
    <w:rsid w:val="00A74F9D"/>
    <w:rsid w:val="00A7507F"/>
    <w:rsid w:val="00A7597F"/>
    <w:rsid w:val="00A759C4"/>
    <w:rsid w:val="00A761FB"/>
    <w:rsid w:val="00A7629B"/>
    <w:rsid w:val="00A766BE"/>
    <w:rsid w:val="00A76879"/>
    <w:rsid w:val="00A76B5E"/>
    <w:rsid w:val="00A77422"/>
    <w:rsid w:val="00A776A6"/>
    <w:rsid w:val="00A77D3A"/>
    <w:rsid w:val="00A77E41"/>
    <w:rsid w:val="00A80156"/>
    <w:rsid w:val="00A81194"/>
    <w:rsid w:val="00A81314"/>
    <w:rsid w:val="00A814E6"/>
    <w:rsid w:val="00A815DB"/>
    <w:rsid w:val="00A81982"/>
    <w:rsid w:val="00A81E39"/>
    <w:rsid w:val="00A8255D"/>
    <w:rsid w:val="00A82F95"/>
    <w:rsid w:val="00A8331C"/>
    <w:rsid w:val="00A8384B"/>
    <w:rsid w:val="00A83B37"/>
    <w:rsid w:val="00A83B96"/>
    <w:rsid w:val="00A83C89"/>
    <w:rsid w:val="00A840BA"/>
    <w:rsid w:val="00A8417B"/>
    <w:rsid w:val="00A84340"/>
    <w:rsid w:val="00A843C3"/>
    <w:rsid w:val="00A849A3"/>
    <w:rsid w:val="00A84D0A"/>
    <w:rsid w:val="00A84E01"/>
    <w:rsid w:val="00A8620D"/>
    <w:rsid w:val="00A862FE"/>
    <w:rsid w:val="00A863F3"/>
    <w:rsid w:val="00A867A5"/>
    <w:rsid w:val="00A86932"/>
    <w:rsid w:val="00A869F0"/>
    <w:rsid w:val="00A8780F"/>
    <w:rsid w:val="00A90BE5"/>
    <w:rsid w:val="00A90C3D"/>
    <w:rsid w:val="00A90E86"/>
    <w:rsid w:val="00A90EE3"/>
    <w:rsid w:val="00A91616"/>
    <w:rsid w:val="00A91B93"/>
    <w:rsid w:val="00A91C39"/>
    <w:rsid w:val="00A91F6D"/>
    <w:rsid w:val="00A92095"/>
    <w:rsid w:val="00A921C7"/>
    <w:rsid w:val="00A92832"/>
    <w:rsid w:val="00A92A78"/>
    <w:rsid w:val="00A92B81"/>
    <w:rsid w:val="00A932EB"/>
    <w:rsid w:val="00A934EF"/>
    <w:rsid w:val="00A935FB"/>
    <w:rsid w:val="00A937B9"/>
    <w:rsid w:val="00A941DC"/>
    <w:rsid w:val="00A94250"/>
    <w:rsid w:val="00A94CC5"/>
    <w:rsid w:val="00A94D67"/>
    <w:rsid w:val="00A94D6E"/>
    <w:rsid w:val="00A94DDD"/>
    <w:rsid w:val="00A94DE6"/>
    <w:rsid w:val="00A94DFB"/>
    <w:rsid w:val="00A94FF5"/>
    <w:rsid w:val="00A950B5"/>
    <w:rsid w:val="00A95174"/>
    <w:rsid w:val="00A95202"/>
    <w:rsid w:val="00A95AA9"/>
    <w:rsid w:val="00A95B4A"/>
    <w:rsid w:val="00A95EE4"/>
    <w:rsid w:val="00A95F82"/>
    <w:rsid w:val="00A96377"/>
    <w:rsid w:val="00A96D5B"/>
    <w:rsid w:val="00A971F4"/>
    <w:rsid w:val="00A973B1"/>
    <w:rsid w:val="00A975DB"/>
    <w:rsid w:val="00A979B9"/>
    <w:rsid w:val="00A97A28"/>
    <w:rsid w:val="00A97D48"/>
    <w:rsid w:val="00AA0420"/>
    <w:rsid w:val="00AA052E"/>
    <w:rsid w:val="00AA0D93"/>
    <w:rsid w:val="00AA0FD6"/>
    <w:rsid w:val="00AA1137"/>
    <w:rsid w:val="00AA1C04"/>
    <w:rsid w:val="00AA206A"/>
    <w:rsid w:val="00AA23DE"/>
    <w:rsid w:val="00AA2C6E"/>
    <w:rsid w:val="00AA2DB5"/>
    <w:rsid w:val="00AA2EB8"/>
    <w:rsid w:val="00AA319F"/>
    <w:rsid w:val="00AA3213"/>
    <w:rsid w:val="00AA3B18"/>
    <w:rsid w:val="00AA3B74"/>
    <w:rsid w:val="00AA3CB1"/>
    <w:rsid w:val="00AA3D3B"/>
    <w:rsid w:val="00AA3E12"/>
    <w:rsid w:val="00AA416C"/>
    <w:rsid w:val="00AA4233"/>
    <w:rsid w:val="00AA4861"/>
    <w:rsid w:val="00AA4CB7"/>
    <w:rsid w:val="00AA4F83"/>
    <w:rsid w:val="00AA5412"/>
    <w:rsid w:val="00AA542E"/>
    <w:rsid w:val="00AA5A02"/>
    <w:rsid w:val="00AA5C66"/>
    <w:rsid w:val="00AA5E20"/>
    <w:rsid w:val="00AA62F1"/>
    <w:rsid w:val="00AA6456"/>
    <w:rsid w:val="00AA646B"/>
    <w:rsid w:val="00AA676C"/>
    <w:rsid w:val="00AA6BBB"/>
    <w:rsid w:val="00AA6FE6"/>
    <w:rsid w:val="00AA6FFF"/>
    <w:rsid w:val="00AA7201"/>
    <w:rsid w:val="00AA789E"/>
    <w:rsid w:val="00AA7F8E"/>
    <w:rsid w:val="00AB0605"/>
    <w:rsid w:val="00AB0B72"/>
    <w:rsid w:val="00AB0B91"/>
    <w:rsid w:val="00AB1D09"/>
    <w:rsid w:val="00AB1F62"/>
    <w:rsid w:val="00AB23AB"/>
    <w:rsid w:val="00AB23D9"/>
    <w:rsid w:val="00AB27FE"/>
    <w:rsid w:val="00AB2CBC"/>
    <w:rsid w:val="00AB35BD"/>
    <w:rsid w:val="00AB39AA"/>
    <w:rsid w:val="00AB3EA1"/>
    <w:rsid w:val="00AB407E"/>
    <w:rsid w:val="00AB40A7"/>
    <w:rsid w:val="00AB42DE"/>
    <w:rsid w:val="00AB43D1"/>
    <w:rsid w:val="00AB452B"/>
    <w:rsid w:val="00AB4ACB"/>
    <w:rsid w:val="00AB4B2A"/>
    <w:rsid w:val="00AB50FD"/>
    <w:rsid w:val="00AB5235"/>
    <w:rsid w:val="00AB5F6B"/>
    <w:rsid w:val="00AB6805"/>
    <w:rsid w:val="00AB68E4"/>
    <w:rsid w:val="00AB6E46"/>
    <w:rsid w:val="00AB702A"/>
    <w:rsid w:val="00AB71E6"/>
    <w:rsid w:val="00AB7613"/>
    <w:rsid w:val="00AB7B73"/>
    <w:rsid w:val="00AB7D08"/>
    <w:rsid w:val="00AB7D9C"/>
    <w:rsid w:val="00AC0190"/>
    <w:rsid w:val="00AC01CD"/>
    <w:rsid w:val="00AC01D6"/>
    <w:rsid w:val="00AC0344"/>
    <w:rsid w:val="00AC04D9"/>
    <w:rsid w:val="00AC0712"/>
    <w:rsid w:val="00AC07A1"/>
    <w:rsid w:val="00AC0834"/>
    <w:rsid w:val="00AC0979"/>
    <w:rsid w:val="00AC09E3"/>
    <w:rsid w:val="00AC0B19"/>
    <w:rsid w:val="00AC0ECA"/>
    <w:rsid w:val="00AC10CF"/>
    <w:rsid w:val="00AC11BF"/>
    <w:rsid w:val="00AC1413"/>
    <w:rsid w:val="00AC1459"/>
    <w:rsid w:val="00AC1746"/>
    <w:rsid w:val="00AC1C42"/>
    <w:rsid w:val="00AC2327"/>
    <w:rsid w:val="00AC23D5"/>
    <w:rsid w:val="00AC288B"/>
    <w:rsid w:val="00AC2970"/>
    <w:rsid w:val="00AC2B86"/>
    <w:rsid w:val="00AC2BF3"/>
    <w:rsid w:val="00AC2BF9"/>
    <w:rsid w:val="00AC2C92"/>
    <w:rsid w:val="00AC2EC1"/>
    <w:rsid w:val="00AC312E"/>
    <w:rsid w:val="00AC31DC"/>
    <w:rsid w:val="00AC3A5A"/>
    <w:rsid w:val="00AC3E46"/>
    <w:rsid w:val="00AC3F80"/>
    <w:rsid w:val="00AC47E8"/>
    <w:rsid w:val="00AC4EA1"/>
    <w:rsid w:val="00AC505B"/>
    <w:rsid w:val="00AC50A2"/>
    <w:rsid w:val="00AC5118"/>
    <w:rsid w:val="00AC5273"/>
    <w:rsid w:val="00AC55AA"/>
    <w:rsid w:val="00AC5863"/>
    <w:rsid w:val="00AC5C0A"/>
    <w:rsid w:val="00AC5D86"/>
    <w:rsid w:val="00AC5E19"/>
    <w:rsid w:val="00AC5E34"/>
    <w:rsid w:val="00AC63EE"/>
    <w:rsid w:val="00AC6EBA"/>
    <w:rsid w:val="00AC7045"/>
    <w:rsid w:val="00AC70D8"/>
    <w:rsid w:val="00AC7271"/>
    <w:rsid w:val="00AC7323"/>
    <w:rsid w:val="00AC7AC3"/>
    <w:rsid w:val="00AC7B3E"/>
    <w:rsid w:val="00AC7C49"/>
    <w:rsid w:val="00AC7CD1"/>
    <w:rsid w:val="00AD0893"/>
    <w:rsid w:val="00AD0A2C"/>
    <w:rsid w:val="00AD0D55"/>
    <w:rsid w:val="00AD1424"/>
    <w:rsid w:val="00AD15D9"/>
    <w:rsid w:val="00AD1EB2"/>
    <w:rsid w:val="00AD2503"/>
    <w:rsid w:val="00AD286F"/>
    <w:rsid w:val="00AD2998"/>
    <w:rsid w:val="00AD2BAA"/>
    <w:rsid w:val="00AD2CA3"/>
    <w:rsid w:val="00AD2E46"/>
    <w:rsid w:val="00AD30C0"/>
    <w:rsid w:val="00AD31AA"/>
    <w:rsid w:val="00AD3574"/>
    <w:rsid w:val="00AD376B"/>
    <w:rsid w:val="00AD3CA7"/>
    <w:rsid w:val="00AD3CE2"/>
    <w:rsid w:val="00AD3CF6"/>
    <w:rsid w:val="00AD5355"/>
    <w:rsid w:val="00AD53A9"/>
    <w:rsid w:val="00AD54B9"/>
    <w:rsid w:val="00AD5518"/>
    <w:rsid w:val="00AD5693"/>
    <w:rsid w:val="00AD5783"/>
    <w:rsid w:val="00AD57B2"/>
    <w:rsid w:val="00AD5B39"/>
    <w:rsid w:val="00AD5B5A"/>
    <w:rsid w:val="00AD5C77"/>
    <w:rsid w:val="00AD6112"/>
    <w:rsid w:val="00AD648D"/>
    <w:rsid w:val="00AD7621"/>
    <w:rsid w:val="00AD76DA"/>
    <w:rsid w:val="00AD79C9"/>
    <w:rsid w:val="00AE02EA"/>
    <w:rsid w:val="00AE0679"/>
    <w:rsid w:val="00AE0E2D"/>
    <w:rsid w:val="00AE1BB4"/>
    <w:rsid w:val="00AE1D01"/>
    <w:rsid w:val="00AE2117"/>
    <w:rsid w:val="00AE2501"/>
    <w:rsid w:val="00AE25D2"/>
    <w:rsid w:val="00AE2753"/>
    <w:rsid w:val="00AE385D"/>
    <w:rsid w:val="00AE3A46"/>
    <w:rsid w:val="00AE3EFB"/>
    <w:rsid w:val="00AE42E3"/>
    <w:rsid w:val="00AE4362"/>
    <w:rsid w:val="00AE4469"/>
    <w:rsid w:val="00AE4722"/>
    <w:rsid w:val="00AE4C70"/>
    <w:rsid w:val="00AE52F5"/>
    <w:rsid w:val="00AE574B"/>
    <w:rsid w:val="00AE5C65"/>
    <w:rsid w:val="00AE5DB5"/>
    <w:rsid w:val="00AE6543"/>
    <w:rsid w:val="00AE6756"/>
    <w:rsid w:val="00AE67FC"/>
    <w:rsid w:val="00AE6B37"/>
    <w:rsid w:val="00AE6E3E"/>
    <w:rsid w:val="00AE6E5B"/>
    <w:rsid w:val="00AE735E"/>
    <w:rsid w:val="00AE7652"/>
    <w:rsid w:val="00AE78D5"/>
    <w:rsid w:val="00AE7D91"/>
    <w:rsid w:val="00AF00B6"/>
    <w:rsid w:val="00AF0994"/>
    <w:rsid w:val="00AF0B23"/>
    <w:rsid w:val="00AF0E6B"/>
    <w:rsid w:val="00AF0FC4"/>
    <w:rsid w:val="00AF106F"/>
    <w:rsid w:val="00AF1093"/>
    <w:rsid w:val="00AF1133"/>
    <w:rsid w:val="00AF13AF"/>
    <w:rsid w:val="00AF1C17"/>
    <w:rsid w:val="00AF1D8E"/>
    <w:rsid w:val="00AF1F1D"/>
    <w:rsid w:val="00AF24C4"/>
    <w:rsid w:val="00AF2595"/>
    <w:rsid w:val="00AF2674"/>
    <w:rsid w:val="00AF3529"/>
    <w:rsid w:val="00AF37EA"/>
    <w:rsid w:val="00AF38A0"/>
    <w:rsid w:val="00AF3CFA"/>
    <w:rsid w:val="00AF46F3"/>
    <w:rsid w:val="00AF48C3"/>
    <w:rsid w:val="00AF4CF3"/>
    <w:rsid w:val="00AF4EFE"/>
    <w:rsid w:val="00AF4F1C"/>
    <w:rsid w:val="00AF4F82"/>
    <w:rsid w:val="00AF599C"/>
    <w:rsid w:val="00AF5B66"/>
    <w:rsid w:val="00AF5BD4"/>
    <w:rsid w:val="00AF5FA3"/>
    <w:rsid w:val="00AF614B"/>
    <w:rsid w:val="00AF65D1"/>
    <w:rsid w:val="00AF66B1"/>
    <w:rsid w:val="00AF67E9"/>
    <w:rsid w:val="00AF6A23"/>
    <w:rsid w:val="00AF6D09"/>
    <w:rsid w:val="00AF7252"/>
    <w:rsid w:val="00AF759B"/>
    <w:rsid w:val="00AF7ADD"/>
    <w:rsid w:val="00AF7DDD"/>
    <w:rsid w:val="00B00079"/>
    <w:rsid w:val="00B00105"/>
    <w:rsid w:val="00B0063E"/>
    <w:rsid w:val="00B0082C"/>
    <w:rsid w:val="00B00C84"/>
    <w:rsid w:val="00B011A5"/>
    <w:rsid w:val="00B015CC"/>
    <w:rsid w:val="00B0183B"/>
    <w:rsid w:val="00B01DB7"/>
    <w:rsid w:val="00B021E8"/>
    <w:rsid w:val="00B0228A"/>
    <w:rsid w:val="00B0266E"/>
    <w:rsid w:val="00B026F1"/>
    <w:rsid w:val="00B03012"/>
    <w:rsid w:val="00B03224"/>
    <w:rsid w:val="00B03299"/>
    <w:rsid w:val="00B03310"/>
    <w:rsid w:val="00B03529"/>
    <w:rsid w:val="00B03C0E"/>
    <w:rsid w:val="00B03DA7"/>
    <w:rsid w:val="00B046CB"/>
    <w:rsid w:val="00B047DF"/>
    <w:rsid w:val="00B04A59"/>
    <w:rsid w:val="00B04AF1"/>
    <w:rsid w:val="00B0502F"/>
    <w:rsid w:val="00B0517C"/>
    <w:rsid w:val="00B05470"/>
    <w:rsid w:val="00B05ABA"/>
    <w:rsid w:val="00B05B03"/>
    <w:rsid w:val="00B05BEF"/>
    <w:rsid w:val="00B06057"/>
    <w:rsid w:val="00B062B5"/>
    <w:rsid w:val="00B06602"/>
    <w:rsid w:val="00B06BBB"/>
    <w:rsid w:val="00B0705A"/>
    <w:rsid w:val="00B071F3"/>
    <w:rsid w:val="00B07F48"/>
    <w:rsid w:val="00B102AF"/>
    <w:rsid w:val="00B10664"/>
    <w:rsid w:val="00B106EE"/>
    <w:rsid w:val="00B1083B"/>
    <w:rsid w:val="00B10AF0"/>
    <w:rsid w:val="00B1137E"/>
    <w:rsid w:val="00B11577"/>
    <w:rsid w:val="00B11FDA"/>
    <w:rsid w:val="00B12066"/>
    <w:rsid w:val="00B123ED"/>
    <w:rsid w:val="00B12567"/>
    <w:rsid w:val="00B12663"/>
    <w:rsid w:val="00B126E8"/>
    <w:rsid w:val="00B12870"/>
    <w:rsid w:val="00B12947"/>
    <w:rsid w:val="00B13FBB"/>
    <w:rsid w:val="00B14281"/>
    <w:rsid w:val="00B14583"/>
    <w:rsid w:val="00B14601"/>
    <w:rsid w:val="00B1479B"/>
    <w:rsid w:val="00B14C21"/>
    <w:rsid w:val="00B14EEE"/>
    <w:rsid w:val="00B14FCB"/>
    <w:rsid w:val="00B15154"/>
    <w:rsid w:val="00B15536"/>
    <w:rsid w:val="00B162A1"/>
    <w:rsid w:val="00B1648C"/>
    <w:rsid w:val="00B1658F"/>
    <w:rsid w:val="00B166B3"/>
    <w:rsid w:val="00B16940"/>
    <w:rsid w:val="00B17F3C"/>
    <w:rsid w:val="00B20143"/>
    <w:rsid w:val="00B2032D"/>
    <w:rsid w:val="00B20484"/>
    <w:rsid w:val="00B205C7"/>
    <w:rsid w:val="00B2068E"/>
    <w:rsid w:val="00B207BE"/>
    <w:rsid w:val="00B20BA1"/>
    <w:rsid w:val="00B20C38"/>
    <w:rsid w:val="00B2135E"/>
    <w:rsid w:val="00B216DF"/>
    <w:rsid w:val="00B2238A"/>
    <w:rsid w:val="00B22412"/>
    <w:rsid w:val="00B236CF"/>
    <w:rsid w:val="00B23EE7"/>
    <w:rsid w:val="00B2472A"/>
    <w:rsid w:val="00B24B29"/>
    <w:rsid w:val="00B24B4C"/>
    <w:rsid w:val="00B24E76"/>
    <w:rsid w:val="00B25403"/>
    <w:rsid w:val="00B2545A"/>
    <w:rsid w:val="00B25529"/>
    <w:rsid w:val="00B25B51"/>
    <w:rsid w:val="00B25D9C"/>
    <w:rsid w:val="00B261A6"/>
    <w:rsid w:val="00B2633A"/>
    <w:rsid w:val="00B26691"/>
    <w:rsid w:val="00B26F54"/>
    <w:rsid w:val="00B27103"/>
    <w:rsid w:val="00B27243"/>
    <w:rsid w:val="00B27773"/>
    <w:rsid w:val="00B27D5F"/>
    <w:rsid w:val="00B27E0A"/>
    <w:rsid w:val="00B27EC1"/>
    <w:rsid w:val="00B30210"/>
    <w:rsid w:val="00B306FE"/>
    <w:rsid w:val="00B30E5B"/>
    <w:rsid w:val="00B30EA0"/>
    <w:rsid w:val="00B3125C"/>
    <w:rsid w:val="00B319BC"/>
    <w:rsid w:val="00B31BA4"/>
    <w:rsid w:val="00B326F2"/>
    <w:rsid w:val="00B326FE"/>
    <w:rsid w:val="00B32852"/>
    <w:rsid w:val="00B329E1"/>
    <w:rsid w:val="00B32C60"/>
    <w:rsid w:val="00B32D36"/>
    <w:rsid w:val="00B3377A"/>
    <w:rsid w:val="00B3392A"/>
    <w:rsid w:val="00B34B44"/>
    <w:rsid w:val="00B34CD5"/>
    <w:rsid w:val="00B34FCD"/>
    <w:rsid w:val="00B34FFC"/>
    <w:rsid w:val="00B35040"/>
    <w:rsid w:val="00B352E3"/>
    <w:rsid w:val="00B35515"/>
    <w:rsid w:val="00B357DF"/>
    <w:rsid w:val="00B35AA0"/>
    <w:rsid w:val="00B35FC5"/>
    <w:rsid w:val="00B365B3"/>
    <w:rsid w:val="00B367A9"/>
    <w:rsid w:val="00B36AAA"/>
    <w:rsid w:val="00B36D6E"/>
    <w:rsid w:val="00B37051"/>
    <w:rsid w:val="00B372A6"/>
    <w:rsid w:val="00B37426"/>
    <w:rsid w:val="00B37853"/>
    <w:rsid w:val="00B37B2E"/>
    <w:rsid w:val="00B37C7C"/>
    <w:rsid w:val="00B407DD"/>
    <w:rsid w:val="00B40959"/>
    <w:rsid w:val="00B40F91"/>
    <w:rsid w:val="00B40FA0"/>
    <w:rsid w:val="00B4100E"/>
    <w:rsid w:val="00B41028"/>
    <w:rsid w:val="00B41234"/>
    <w:rsid w:val="00B41A94"/>
    <w:rsid w:val="00B41D54"/>
    <w:rsid w:val="00B42188"/>
    <w:rsid w:val="00B428B9"/>
    <w:rsid w:val="00B431F6"/>
    <w:rsid w:val="00B4322B"/>
    <w:rsid w:val="00B4325F"/>
    <w:rsid w:val="00B43496"/>
    <w:rsid w:val="00B434F2"/>
    <w:rsid w:val="00B4399D"/>
    <w:rsid w:val="00B43D21"/>
    <w:rsid w:val="00B44043"/>
    <w:rsid w:val="00B44A64"/>
    <w:rsid w:val="00B44FD3"/>
    <w:rsid w:val="00B45073"/>
    <w:rsid w:val="00B45357"/>
    <w:rsid w:val="00B458EA"/>
    <w:rsid w:val="00B45ACF"/>
    <w:rsid w:val="00B465EE"/>
    <w:rsid w:val="00B467F4"/>
    <w:rsid w:val="00B46883"/>
    <w:rsid w:val="00B46B3C"/>
    <w:rsid w:val="00B46C41"/>
    <w:rsid w:val="00B46CEA"/>
    <w:rsid w:val="00B46D61"/>
    <w:rsid w:val="00B46FA5"/>
    <w:rsid w:val="00B47A70"/>
    <w:rsid w:val="00B47B1E"/>
    <w:rsid w:val="00B47DAA"/>
    <w:rsid w:val="00B47F13"/>
    <w:rsid w:val="00B47F6F"/>
    <w:rsid w:val="00B503B2"/>
    <w:rsid w:val="00B503F4"/>
    <w:rsid w:val="00B50668"/>
    <w:rsid w:val="00B50A82"/>
    <w:rsid w:val="00B50B2D"/>
    <w:rsid w:val="00B50BA9"/>
    <w:rsid w:val="00B50EE6"/>
    <w:rsid w:val="00B510A8"/>
    <w:rsid w:val="00B51175"/>
    <w:rsid w:val="00B51317"/>
    <w:rsid w:val="00B51338"/>
    <w:rsid w:val="00B519BE"/>
    <w:rsid w:val="00B51F0B"/>
    <w:rsid w:val="00B523BD"/>
    <w:rsid w:val="00B52ABC"/>
    <w:rsid w:val="00B53068"/>
    <w:rsid w:val="00B532D5"/>
    <w:rsid w:val="00B5347D"/>
    <w:rsid w:val="00B53948"/>
    <w:rsid w:val="00B53C2A"/>
    <w:rsid w:val="00B5403C"/>
    <w:rsid w:val="00B541CF"/>
    <w:rsid w:val="00B5426E"/>
    <w:rsid w:val="00B54698"/>
    <w:rsid w:val="00B549B5"/>
    <w:rsid w:val="00B54D82"/>
    <w:rsid w:val="00B54FC6"/>
    <w:rsid w:val="00B55317"/>
    <w:rsid w:val="00B55E9A"/>
    <w:rsid w:val="00B55F2E"/>
    <w:rsid w:val="00B56583"/>
    <w:rsid w:val="00B567E2"/>
    <w:rsid w:val="00B56BD8"/>
    <w:rsid w:val="00B56D0A"/>
    <w:rsid w:val="00B5722A"/>
    <w:rsid w:val="00B57A17"/>
    <w:rsid w:val="00B60164"/>
    <w:rsid w:val="00B608B0"/>
    <w:rsid w:val="00B60F8C"/>
    <w:rsid w:val="00B61217"/>
    <w:rsid w:val="00B61345"/>
    <w:rsid w:val="00B6155D"/>
    <w:rsid w:val="00B61D54"/>
    <w:rsid w:val="00B61ED2"/>
    <w:rsid w:val="00B61EFF"/>
    <w:rsid w:val="00B62905"/>
    <w:rsid w:val="00B62B25"/>
    <w:rsid w:val="00B62C60"/>
    <w:rsid w:val="00B62ED4"/>
    <w:rsid w:val="00B638B5"/>
    <w:rsid w:val="00B63969"/>
    <w:rsid w:val="00B63E9A"/>
    <w:rsid w:val="00B63F18"/>
    <w:rsid w:val="00B642E6"/>
    <w:rsid w:val="00B64DC3"/>
    <w:rsid w:val="00B6562F"/>
    <w:rsid w:val="00B65768"/>
    <w:rsid w:val="00B659D6"/>
    <w:rsid w:val="00B65D30"/>
    <w:rsid w:val="00B661E6"/>
    <w:rsid w:val="00B663EA"/>
    <w:rsid w:val="00B66660"/>
    <w:rsid w:val="00B666E3"/>
    <w:rsid w:val="00B671CE"/>
    <w:rsid w:val="00B6734E"/>
    <w:rsid w:val="00B67586"/>
    <w:rsid w:val="00B67691"/>
    <w:rsid w:val="00B67F0E"/>
    <w:rsid w:val="00B7049D"/>
    <w:rsid w:val="00B705B6"/>
    <w:rsid w:val="00B7164B"/>
    <w:rsid w:val="00B718CF"/>
    <w:rsid w:val="00B7194F"/>
    <w:rsid w:val="00B71AAA"/>
    <w:rsid w:val="00B71DFA"/>
    <w:rsid w:val="00B71E45"/>
    <w:rsid w:val="00B72254"/>
    <w:rsid w:val="00B72947"/>
    <w:rsid w:val="00B72BAA"/>
    <w:rsid w:val="00B730F3"/>
    <w:rsid w:val="00B73660"/>
    <w:rsid w:val="00B7391B"/>
    <w:rsid w:val="00B73AC2"/>
    <w:rsid w:val="00B73B85"/>
    <w:rsid w:val="00B73C5E"/>
    <w:rsid w:val="00B73F4A"/>
    <w:rsid w:val="00B74537"/>
    <w:rsid w:val="00B74912"/>
    <w:rsid w:val="00B74AC5"/>
    <w:rsid w:val="00B74EB2"/>
    <w:rsid w:val="00B752C4"/>
    <w:rsid w:val="00B75833"/>
    <w:rsid w:val="00B75CA0"/>
    <w:rsid w:val="00B75FF4"/>
    <w:rsid w:val="00B7644E"/>
    <w:rsid w:val="00B76DF5"/>
    <w:rsid w:val="00B76F81"/>
    <w:rsid w:val="00B76FDC"/>
    <w:rsid w:val="00B7785A"/>
    <w:rsid w:val="00B77891"/>
    <w:rsid w:val="00B7798E"/>
    <w:rsid w:val="00B779FE"/>
    <w:rsid w:val="00B8008F"/>
    <w:rsid w:val="00B803FC"/>
    <w:rsid w:val="00B806E2"/>
    <w:rsid w:val="00B80C51"/>
    <w:rsid w:val="00B80CD9"/>
    <w:rsid w:val="00B815F4"/>
    <w:rsid w:val="00B81723"/>
    <w:rsid w:val="00B81A45"/>
    <w:rsid w:val="00B81DD2"/>
    <w:rsid w:val="00B8217C"/>
    <w:rsid w:val="00B82644"/>
    <w:rsid w:val="00B82B4B"/>
    <w:rsid w:val="00B82C83"/>
    <w:rsid w:val="00B833C4"/>
    <w:rsid w:val="00B8341A"/>
    <w:rsid w:val="00B8385B"/>
    <w:rsid w:val="00B83C63"/>
    <w:rsid w:val="00B842EC"/>
    <w:rsid w:val="00B8446B"/>
    <w:rsid w:val="00B84723"/>
    <w:rsid w:val="00B84ACE"/>
    <w:rsid w:val="00B84E56"/>
    <w:rsid w:val="00B855A8"/>
    <w:rsid w:val="00B85608"/>
    <w:rsid w:val="00B85629"/>
    <w:rsid w:val="00B856D4"/>
    <w:rsid w:val="00B85BAF"/>
    <w:rsid w:val="00B85BE4"/>
    <w:rsid w:val="00B85C2C"/>
    <w:rsid w:val="00B85CB9"/>
    <w:rsid w:val="00B85EDA"/>
    <w:rsid w:val="00B86048"/>
    <w:rsid w:val="00B8604C"/>
    <w:rsid w:val="00B8662B"/>
    <w:rsid w:val="00B86CA9"/>
    <w:rsid w:val="00B87703"/>
    <w:rsid w:val="00B87739"/>
    <w:rsid w:val="00B87E79"/>
    <w:rsid w:val="00B902FC"/>
    <w:rsid w:val="00B90396"/>
    <w:rsid w:val="00B90660"/>
    <w:rsid w:val="00B9075E"/>
    <w:rsid w:val="00B907F7"/>
    <w:rsid w:val="00B90934"/>
    <w:rsid w:val="00B909BA"/>
    <w:rsid w:val="00B90C95"/>
    <w:rsid w:val="00B90E7B"/>
    <w:rsid w:val="00B911AE"/>
    <w:rsid w:val="00B91554"/>
    <w:rsid w:val="00B91B03"/>
    <w:rsid w:val="00B91CF1"/>
    <w:rsid w:val="00B91CF4"/>
    <w:rsid w:val="00B92139"/>
    <w:rsid w:val="00B92A28"/>
    <w:rsid w:val="00B92F12"/>
    <w:rsid w:val="00B930B0"/>
    <w:rsid w:val="00B93340"/>
    <w:rsid w:val="00B93376"/>
    <w:rsid w:val="00B93437"/>
    <w:rsid w:val="00B936B3"/>
    <w:rsid w:val="00B93BD6"/>
    <w:rsid w:val="00B93F40"/>
    <w:rsid w:val="00B93F9A"/>
    <w:rsid w:val="00B94423"/>
    <w:rsid w:val="00B94952"/>
    <w:rsid w:val="00B9496A"/>
    <w:rsid w:val="00B94C94"/>
    <w:rsid w:val="00B952DD"/>
    <w:rsid w:val="00B95FE9"/>
    <w:rsid w:val="00B96170"/>
    <w:rsid w:val="00B96382"/>
    <w:rsid w:val="00B9677E"/>
    <w:rsid w:val="00B96A8C"/>
    <w:rsid w:val="00B96E47"/>
    <w:rsid w:val="00B96F98"/>
    <w:rsid w:val="00B97201"/>
    <w:rsid w:val="00B977AC"/>
    <w:rsid w:val="00BA012C"/>
    <w:rsid w:val="00BA0BB7"/>
    <w:rsid w:val="00BA0C3A"/>
    <w:rsid w:val="00BA10A3"/>
    <w:rsid w:val="00BA13CA"/>
    <w:rsid w:val="00BA167F"/>
    <w:rsid w:val="00BA1D88"/>
    <w:rsid w:val="00BA251E"/>
    <w:rsid w:val="00BA274A"/>
    <w:rsid w:val="00BA2B48"/>
    <w:rsid w:val="00BA2BD3"/>
    <w:rsid w:val="00BA336C"/>
    <w:rsid w:val="00BA3754"/>
    <w:rsid w:val="00BA3BDE"/>
    <w:rsid w:val="00BA3DD0"/>
    <w:rsid w:val="00BA3DE7"/>
    <w:rsid w:val="00BA4166"/>
    <w:rsid w:val="00BA41C0"/>
    <w:rsid w:val="00BA41F3"/>
    <w:rsid w:val="00BA433B"/>
    <w:rsid w:val="00BA45DC"/>
    <w:rsid w:val="00BA4730"/>
    <w:rsid w:val="00BA488A"/>
    <w:rsid w:val="00BA4A54"/>
    <w:rsid w:val="00BA4DD8"/>
    <w:rsid w:val="00BA5417"/>
    <w:rsid w:val="00BA58E2"/>
    <w:rsid w:val="00BA5A3D"/>
    <w:rsid w:val="00BA5EFA"/>
    <w:rsid w:val="00BA6112"/>
    <w:rsid w:val="00BA63C6"/>
    <w:rsid w:val="00BA6673"/>
    <w:rsid w:val="00BA6E39"/>
    <w:rsid w:val="00BA7D25"/>
    <w:rsid w:val="00BA7DA2"/>
    <w:rsid w:val="00BA7DCF"/>
    <w:rsid w:val="00BB025D"/>
    <w:rsid w:val="00BB057A"/>
    <w:rsid w:val="00BB0D5C"/>
    <w:rsid w:val="00BB11F5"/>
    <w:rsid w:val="00BB1B16"/>
    <w:rsid w:val="00BB1C81"/>
    <w:rsid w:val="00BB1D99"/>
    <w:rsid w:val="00BB1F3A"/>
    <w:rsid w:val="00BB26E5"/>
    <w:rsid w:val="00BB286B"/>
    <w:rsid w:val="00BB29BC"/>
    <w:rsid w:val="00BB2D12"/>
    <w:rsid w:val="00BB2EF6"/>
    <w:rsid w:val="00BB34E6"/>
    <w:rsid w:val="00BB37FA"/>
    <w:rsid w:val="00BB390C"/>
    <w:rsid w:val="00BB3E0A"/>
    <w:rsid w:val="00BB446E"/>
    <w:rsid w:val="00BB4C01"/>
    <w:rsid w:val="00BB5076"/>
    <w:rsid w:val="00BB51BB"/>
    <w:rsid w:val="00BB53E1"/>
    <w:rsid w:val="00BB56F4"/>
    <w:rsid w:val="00BB5D68"/>
    <w:rsid w:val="00BB60D1"/>
    <w:rsid w:val="00BB6858"/>
    <w:rsid w:val="00BB6B9F"/>
    <w:rsid w:val="00BB6BCE"/>
    <w:rsid w:val="00BB70C0"/>
    <w:rsid w:val="00BB70CC"/>
    <w:rsid w:val="00BB73B9"/>
    <w:rsid w:val="00BB77D8"/>
    <w:rsid w:val="00BB77E3"/>
    <w:rsid w:val="00BB7AC4"/>
    <w:rsid w:val="00BC0005"/>
    <w:rsid w:val="00BC02A4"/>
    <w:rsid w:val="00BC0606"/>
    <w:rsid w:val="00BC088D"/>
    <w:rsid w:val="00BC0ABB"/>
    <w:rsid w:val="00BC0CB7"/>
    <w:rsid w:val="00BC1285"/>
    <w:rsid w:val="00BC1443"/>
    <w:rsid w:val="00BC1A3D"/>
    <w:rsid w:val="00BC1B28"/>
    <w:rsid w:val="00BC2A0D"/>
    <w:rsid w:val="00BC2AC9"/>
    <w:rsid w:val="00BC2CA9"/>
    <w:rsid w:val="00BC30E9"/>
    <w:rsid w:val="00BC3603"/>
    <w:rsid w:val="00BC3632"/>
    <w:rsid w:val="00BC37F2"/>
    <w:rsid w:val="00BC3947"/>
    <w:rsid w:val="00BC3A38"/>
    <w:rsid w:val="00BC3B25"/>
    <w:rsid w:val="00BC3CC9"/>
    <w:rsid w:val="00BC409D"/>
    <w:rsid w:val="00BC42F0"/>
    <w:rsid w:val="00BC5776"/>
    <w:rsid w:val="00BC5883"/>
    <w:rsid w:val="00BC5DF9"/>
    <w:rsid w:val="00BC6073"/>
    <w:rsid w:val="00BC6FD7"/>
    <w:rsid w:val="00BC6FFC"/>
    <w:rsid w:val="00BC72E0"/>
    <w:rsid w:val="00BC74B1"/>
    <w:rsid w:val="00BC7722"/>
    <w:rsid w:val="00BC77C4"/>
    <w:rsid w:val="00BC7BE0"/>
    <w:rsid w:val="00BC7F2A"/>
    <w:rsid w:val="00BD08B5"/>
    <w:rsid w:val="00BD10B8"/>
    <w:rsid w:val="00BD114E"/>
    <w:rsid w:val="00BD13AF"/>
    <w:rsid w:val="00BD18FD"/>
    <w:rsid w:val="00BD1D8C"/>
    <w:rsid w:val="00BD2D2D"/>
    <w:rsid w:val="00BD323B"/>
    <w:rsid w:val="00BD38B6"/>
    <w:rsid w:val="00BD3BD6"/>
    <w:rsid w:val="00BD4078"/>
    <w:rsid w:val="00BD4447"/>
    <w:rsid w:val="00BD48F5"/>
    <w:rsid w:val="00BD4AFF"/>
    <w:rsid w:val="00BD4D6F"/>
    <w:rsid w:val="00BD4F94"/>
    <w:rsid w:val="00BD59AC"/>
    <w:rsid w:val="00BD5AEC"/>
    <w:rsid w:val="00BD5B91"/>
    <w:rsid w:val="00BD633A"/>
    <w:rsid w:val="00BD6815"/>
    <w:rsid w:val="00BD6A04"/>
    <w:rsid w:val="00BD7A95"/>
    <w:rsid w:val="00BE04AE"/>
    <w:rsid w:val="00BE054A"/>
    <w:rsid w:val="00BE05D1"/>
    <w:rsid w:val="00BE0653"/>
    <w:rsid w:val="00BE08BA"/>
    <w:rsid w:val="00BE10F4"/>
    <w:rsid w:val="00BE123A"/>
    <w:rsid w:val="00BE1336"/>
    <w:rsid w:val="00BE135A"/>
    <w:rsid w:val="00BE1AD0"/>
    <w:rsid w:val="00BE1E39"/>
    <w:rsid w:val="00BE21D2"/>
    <w:rsid w:val="00BE2575"/>
    <w:rsid w:val="00BE28F2"/>
    <w:rsid w:val="00BE2939"/>
    <w:rsid w:val="00BE2A69"/>
    <w:rsid w:val="00BE2EEF"/>
    <w:rsid w:val="00BE33A4"/>
    <w:rsid w:val="00BE34BA"/>
    <w:rsid w:val="00BE36D0"/>
    <w:rsid w:val="00BE3B17"/>
    <w:rsid w:val="00BE4263"/>
    <w:rsid w:val="00BE453A"/>
    <w:rsid w:val="00BE458C"/>
    <w:rsid w:val="00BE4668"/>
    <w:rsid w:val="00BE4924"/>
    <w:rsid w:val="00BE4929"/>
    <w:rsid w:val="00BE5343"/>
    <w:rsid w:val="00BE5614"/>
    <w:rsid w:val="00BE5894"/>
    <w:rsid w:val="00BE5925"/>
    <w:rsid w:val="00BE5939"/>
    <w:rsid w:val="00BE63F6"/>
    <w:rsid w:val="00BE6578"/>
    <w:rsid w:val="00BE6AA8"/>
    <w:rsid w:val="00BE71B8"/>
    <w:rsid w:val="00BE75E5"/>
    <w:rsid w:val="00BE77D0"/>
    <w:rsid w:val="00BE7D86"/>
    <w:rsid w:val="00BE7DC5"/>
    <w:rsid w:val="00BE7F83"/>
    <w:rsid w:val="00BF029E"/>
    <w:rsid w:val="00BF054A"/>
    <w:rsid w:val="00BF0864"/>
    <w:rsid w:val="00BF08F7"/>
    <w:rsid w:val="00BF0B44"/>
    <w:rsid w:val="00BF0BCE"/>
    <w:rsid w:val="00BF10DE"/>
    <w:rsid w:val="00BF10EE"/>
    <w:rsid w:val="00BF1206"/>
    <w:rsid w:val="00BF17DC"/>
    <w:rsid w:val="00BF1A14"/>
    <w:rsid w:val="00BF1A24"/>
    <w:rsid w:val="00BF1C14"/>
    <w:rsid w:val="00BF1EEC"/>
    <w:rsid w:val="00BF1FDC"/>
    <w:rsid w:val="00BF323D"/>
    <w:rsid w:val="00BF384A"/>
    <w:rsid w:val="00BF3AC1"/>
    <w:rsid w:val="00BF3EE8"/>
    <w:rsid w:val="00BF47F5"/>
    <w:rsid w:val="00BF5370"/>
    <w:rsid w:val="00BF54EB"/>
    <w:rsid w:val="00BF5B55"/>
    <w:rsid w:val="00BF61E0"/>
    <w:rsid w:val="00BF638F"/>
    <w:rsid w:val="00BF63BC"/>
    <w:rsid w:val="00BF6526"/>
    <w:rsid w:val="00BF667A"/>
    <w:rsid w:val="00BF68CA"/>
    <w:rsid w:val="00BF6947"/>
    <w:rsid w:val="00BF6984"/>
    <w:rsid w:val="00BF6FC4"/>
    <w:rsid w:val="00BF7711"/>
    <w:rsid w:val="00BF7872"/>
    <w:rsid w:val="00BF7AFE"/>
    <w:rsid w:val="00BF7BFF"/>
    <w:rsid w:val="00BF7CF7"/>
    <w:rsid w:val="00BF7D04"/>
    <w:rsid w:val="00C002EA"/>
    <w:rsid w:val="00C00671"/>
    <w:rsid w:val="00C012A1"/>
    <w:rsid w:val="00C01592"/>
    <w:rsid w:val="00C01687"/>
    <w:rsid w:val="00C01CEB"/>
    <w:rsid w:val="00C02883"/>
    <w:rsid w:val="00C037D7"/>
    <w:rsid w:val="00C03E5D"/>
    <w:rsid w:val="00C041DC"/>
    <w:rsid w:val="00C0478C"/>
    <w:rsid w:val="00C04F18"/>
    <w:rsid w:val="00C052BD"/>
    <w:rsid w:val="00C05335"/>
    <w:rsid w:val="00C05711"/>
    <w:rsid w:val="00C05DE5"/>
    <w:rsid w:val="00C06865"/>
    <w:rsid w:val="00C06AE0"/>
    <w:rsid w:val="00C072C6"/>
    <w:rsid w:val="00C07A21"/>
    <w:rsid w:val="00C07B27"/>
    <w:rsid w:val="00C07DC1"/>
    <w:rsid w:val="00C07F5A"/>
    <w:rsid w:val="00C1016E"/>
    <w:rsid w:val="00C10753"/>
    <w:rsid w:val="00C10C9F"/>
    <w:rsid w:val="00C10D85"/>
    <w:rsid w:val="00C11351"/>
    <w:rsid w:val="00C113CB"/>
    <w:rsid w:val="00C12324"/>
    <w:rsid w:val="00C1279A"/>
    <w:rsid w:val="00C12952"/>
    <w:rsid w:val="00C12B89"/>
    <w:rsid w:val="00C12BBF"/>
    <w:rsid w:val="00C12E8B"/>
    <w:rsid w:val="00C12F95"/>
    <w:rsid w:val="00C12FF1"/>
    <w:rsid w:val="00C13157"/>
    <w:rsid w:val="00C13FB5"/>
    <w:rsid w:val="00C14133"/>
    <w:rsid w:val="00C14137"/>
    <w:rsid w:val="00C14754"/>
    <w:rsid w:val="00C1482F"/>
    <w:rsid w:val="00C148C9"/>
    <w:rsid w:val="00C1513B"/>
    <w:rsid w:val="00C156AB"/>
    <w:rsid w:val="00C156EC"/>
    <w:rsid w:val="00C15F6F"/>
    <w:rsid w:val="00C160B7"/>
    <w:rsid w:val="00C16E39"/>
    <w:rsid w:val="00C177C8"/>
    <w:rsid w:val="00C17C68"/>
    <w:rsid w:val="00C2021C"/>
    <w:rsid w:val="00C2052E"/>
    <w:rsid w:val="00C2071A"/>
    <w:rsid w:val="00C20764"/>
    <w:rsid w:val="00C20800"/>
    <w:rsid w:val="00C20962"/>
    <w:rsid w:val="00C20DE2"/>
    <w:rsid w:val="00C21A08"/>
    <w:rsid w:val="00C21A60"/>
    <w:rsid w:val="00C21C98"/>
    <w:rsid w:val="00C22698"/>
    <w:rsid w:val="00C2274D"/>
    <w:rsid w:val="00C22EE5"/>
    <w:rsid w:val="00C22EF9"/>
    <w:rsid w:val="00C22FDC"/>
    <w:rsid w:val="00C23463"/>
    <w:rsid w:val="00C23AD3"/>
    <w:rsid w:val="00C23C26"/>
    <w:rsid w:val="00C23F4F"/>
    <w:rsid w:val="00C244C9"/>
    <w:rsid w:val="00C24C2D"/>
    <w:rsid w:val="00C24C77"/>
    <w:rsid w:val="00C2549F"/>
    <w:rsid w:val="00C257DD"/>
    <w:rsid w:val="00C259A7"/>
    <w:rsid w:val="00C25C19"/>
    <w:rsid w:val="00C26A4E"/>
    <w:rsid w:val="00C26CF1"/>
    <w:rsid w:val="00C27427"/>
    <w:rsid w:val="00C30095"/>
    <w:rsid w:val="00C301A1"/>
    <w:rsid w:val="00C30442"/>
    <w:rsid w:val="00C30517"/>
    <w:rsid w:val="00C30529"/>
    <w:rsid w:val="00C306C1"/>
    <w:rsid w:val="00C308F9"/>
    <w:rsid w:val="00C30A0C"/>
    <w:rsid w:val="00C30A56"/>
    <w:rsid w:val="00C30C35"/>
    <w:rsid w:val="00C31539"/>
    <w:rsid w:val="00C316F8"/>
    <w:rsid w:val="00C319B8"/>
    <w:rsid w:val="00C31F18"/>
    <w:rsid w:val="00C3225F"/>
    <w:rsid w:val="00C32892"/>
    <w:rsid w:val="00C32918"/>
    <w:rsid w:val="00C32A58"/>
    <w:rsid w:val="00C32C28"/>
    <w:rsid w:val="00C32EB0"/>
    <w:rsid w:val="00C33242"/>
    <w:rsid w:val="00C33606"/>
    <w:rsid w:val="00C3368C"/>
    <w:rsid w:val="00C339CA"/>
    <w:rsid w:val="00C33B45"/>
    <w:rsid w:val="00C343BB"/>
    <w:rsid w:val="00C34568"/>
    <w:rsid w:val="00C3499F"/>
    <w:rsid w:val="00C34D7C"/>
    <w:rsid w:val="00C35027"/>
    <w:rsid w:val="00C3522B"/>
    <w:rsid w:val="00C3532A"/>
    <w:rsid w:val="00C35619"/>
    <w:rsid w:val="00C356FC"/>
    <w:rsid w:val="00C3590A"/>
    <w:rsid w:val="00C35B05"/>
    <w:rsid w:val="00C3607F"/>
    <w:rsid w:val="00C360F1"/>
    <w:rsid w:val="00C3656D"/>
    <w:rsid w:val="00C3682E"/>
    <w:rsid w:val="00C36CDB"/>
    <w:rsid w:val="00C37CE2"/>
    <w:rsid w:val="00C4012B"/>
    <w:rsid w:val="00C401B3"/>
    <w:rsid w:val="00C406F3"/>
    <w:rsid w:val="00C40865"/>
    <w:rsid w:val="00C40A7A"/>
    <w:rsid w:val="00C40DD2"/>
    <w:rsid w:val="00C41163"/>
    <w:rsid w:val="00C4156E"/>
    <w:rsid w:val="00C41703"/>
    <w:rsid w:val="00C41A86"/>
    <w:rsid w:val="00C4249E"/>
    <w:rsid w:val="00C42526"/>
    <w:rsid w:val="00C4290E"/>
    <w:rsid w:val="00C42E14"/>
    <w:rsid w:val="00C433CC"/>
    <w:rsid w:val="00C435F0"/>
    <w:rsid w:val="00C43B02"/>
    <w:rsid w:val="00C43B45"/>
    <w:rsid w:val="00C4407E"/>
    <w:rsid w:val="00C441E4"/>
    <w:rsid w:val="00C44573"/>
    <w:rsid w:val="00C4476F"/>
    <w:rsid w:val="00C44A10"/>
    <w:rsid w:val="00C44B70"/>
    <w:rsid w:val="00C44C2D"/>
    <w:rsid w:val="00C45000"/>
    <w:rsid w:val="00C45579"/>
    <w:rsid w:val="00C45915"/>
    <w:rsid w:val="00C459BE"/>
    <w:rsid w:val="00C45A35"/>
    <w:rsid w:val="00C45B44"/>
    <w:rsid w:val="00C463A3"/>
    <w:rsid w:val="00C46C88"/>
    <w:rsid w:val="00C46E19"/>
    <w:rsid w:val="00C47DDB"/>
    <w:rsid w:val="00C50078"/>
    <w:rsid w:val="00C50366"/>
    <w:rsid w:val="00C50CD4"/>
    <w:rsid w:val="00C5122C"/>
    <w:rsid w:val="00C51D38"/>
    <w:rsid w:val="00C52101"/>
    <w:rsid w:val="00C52D13"/>
    <w:rsid w:val="00C536AC"/>
    <w:rsid w:val="00C54C96"/>
    <w:rsid w:val="00C55362"/>
    <w:rsid w:val="00C555A5"/>
    <w:rsid w:val="00C55738"/>
    <w:rsid w:val="00C5582E"/>
    <w:rsid w:val="00C5587A"/>
    <w:rsid w:val="00C5590D"/>
    <w:rsid w:val="00C561EF"/>
    <w:rsid w:val="00C57049"/>
    <w:rsid w:val="00C571BD"/>
    <w:rsid w:val="00C577F8"/>
    <w:rsid w:val="00C600E3"/>
    <w:rsid w:val="00C60218"/>
    <w:rsid w:val="00C605BF"/>
    <w:rsid w:val="00C6071E"/>
    <w:rsid w:val="00C60A18"/>
    <w:rsid w:val="00C60DF7"/>
    <w:rsid w:val="00C61076"/>
    <w:rsid w:val="00C61666"/>
    <w:rsid w:val="00C61A84"/>
    <w:rsid w:val="00C632EE"/>
    <w:rsid w:val="00C633ED"/>
    <w:rsid w:val="00C634A2"/>
    <w:rsid w:val="00C634AC"/>
    <w:rsid w:val="00C638DE"/>
    <w:rsid w:val="00C63B1E"/>
    <w:rsid w:val="00C63E1B"/>
    <w:rsid w:val="00C63E56"/>
    <w:rsid w:val="00C648B5"/>
    <w:rsid w:val="00C64A1C"/>
    <w:rsid w:val="00C64AAD"/>
    <w:rsid w:val="00C6509B"/>
    <w:rsid w:val="00C65365"/>
    <w:rsid w:val="00C65AC8"/>
    <w:rsid w:val="00C65E7D"/>
    <w:rsid w:val="00C66224"/>
    <w:rsid w:val="00C6683D"/>
    <w:rsid w:val="00C66908"/>
    <w:rsid w:val="00C66C15"/>
    <w:rsid w:val="00C6724A"/>
    <w:rsid w:val="00C672B0"/>
    <w:rsid w:val="00C674F9"/>
    <w:rsid w:val="00C67985"/>
    <w:rsid w:val="00C707F7"/>
    <w:rsid w:val="00C70884"/>
    <w:rsid w:val="00C70E79"/>
    <w:rsid w:val="00C7153C"/>
    <w:rsid w:val="00C715FD"/>
    <w:rsid w:val="00C71AB3"/>
    <w:rsid w:val="00C71B80"/>
    <w:rsid w:val="00C71E80"/>
    <w:rsid w:val="00C72866"/>
    <w:rsid w:val="00C729D5"/>
    <w:rsid w:val="00C72B82"/>
    <w:rsid w:val="00C73229"/>
    <w:rsid w:val="00C73752"/>
    <w:rsid w:val="00C73B45"/>
    <w:rsid w:val="00C73FC1"/>
    <w:rsid w:val="00C74270"/>
    <w:rsid w:val="00C747CA"/>
    <w:rsid w:val="00C748A5"/>
    <w:rsid w:val="00C767CA"/>
    <w:rsid w:val="00C76832"/>
    <w:rsid w:val="00C76C70"/>
    <w:rsid w:val="00C76D33"/>
    <w:rsid w:val="00C76F81"/>
    <w:rsid w:val="00C77284"/>
    <w:rsid w:val="00C779E1"/>
    <w:rsid w:val="00C77E7D"/>
    <w:rsid w:val="00C80028"/>
    <w:rsid w:val="00C801C1"/>
    <w:rsid w:val="00C8040B"/>
    <w:rsid w:val="00C80C59"/>
    <w:rsid w:val="00C80D93"/>
    <w:rsid w:val="00C811AB"/>
    <w:rsid w:val="00C81218"/>
    <w:rsid w:val="00C81D70"/>
    <w:rsid w:val="00C81DE4"/>
    <w:rsid w:val="00C81DEE"/>
    <w:rsid w:val="00C81EC8"/>
    <w:rsid w:val="00C8204B"/>
    <w:rsid w:val="00C82249"/>
    <w:rsid w:val="00C824E1"/>
    <w:rsid w:val="00C82745"/>
    <w:rsid w:val="00C82AD5"/>
    <w:rsid w:val="00C82F0B"/>
    <w:rsid w:val="00C830D8"/>
    <w:rsid w:val="00C8322D"/>
    <w:rsid w:val="00C83B71"/>
    <w:rsid w:val="00C83C28"/>
    <w:rsid w:val="00C83D47"/>
    <w:rsid w:val="00C840B3"/>
    <w:rsid w:val="00C843BE"/>
    <w:rsid w:val="00C8488E"/>
    <w:rsid w:val="00C84B54"/>
    <w:rsid w:val="00C84BE9"/>
    <w:rsid w:val="00C84E39"/>
    <w:rsid w:val="00C85010"/>
    <w:rsid w:val="00C85068"/>
    <w:rsid w:val="00C85142"/>
    <w:rsid w:val="00C85479"/>
    <w:rsid w:val="00C859FD"/>
    <w:rsid w:val="00C85C39"/>
    <w:rsid w:val="00C85E8B"/>
    <w:rsid w:val="00C860C9"/>
    <w:rsid w:val="00C86536"/>
    <w:rsid w:val="00C869A2"/>
    <w:rsid w:val="00C86ABC"/>
    <w:rsid w:val="00C86B1A"/>
    <w:rsid w:val="00C87832"/>
    <w:rsid w:val="00C879E9"/>
    <w:rsid w:val="00C87A2B"/>
    <w:rsid w:val="00C87D7B"/>
    <w:rsid w:val="00C90259"/>
    <w:rsid w:val="00C902E7"/>
    <w:rsid w:val="00C90DBD"/>
    <w:rsid w:val="00C90F51"/>
    <w:rsid w:val="00C91482"/>
    <w:rsid w:val="00C9165F"/>
    <w:rsid w:val="00C9171F"/>
    <w:rsid w:val="00C91D77"/>
    <w:rsid w:val="00C91F22"/>
    <w:rsid w:val="00C92173"/>
    <w:rsid w:val="00C921A2"/>
    <w:rsid w:val="00C92DF3"/>
    <w:rsid w:val="00C92E0F"/>
    <w:rsid w:val="00C930ED"/>
    <w:rsid w:val="00C9322D"/>
    <w:rsid w:val="00C9342B"/>
    <w:rsid w:val="00C93ABE"/>
    <w:rsid w:val="00C94033"/>
    <w:rsid w:val="00C94CFA"/>
    <w:rsid w:val="00C958FE"/>
    <w:rsid w:val="00C95DD6"/>
    <w:rsid w:val="00C95FCB"/>
    <w:rsid w:val="00C96097"/>
    <w:rsid w:val="00C96155"/>
    <w:rsid w:val="00C9635B"/>
    <w:rsid w:val="00C965BF"/>
    <w:rsid w:val="00C9670D"/>
    <w:rsid w:val="00C9685B"/>
    <w:rsid w:val="00C96907"/>
    <w:rsid w:val="00C969B0"/>
    <w:rsid w:val="00C9724C"/>
    <w:rsid w:val="00C972A9"/>
    <w:rsid w:val="00C974B9"/>
    <w:rsid w:val="00C977FC"/>
    <w:rsid w:val="00C97C51"/>
    <w:rsid w:val="00CA02FF"/>
    <w:rsid w:val="00CA0C8E"/>
    <w:rsid w:val="00CA1225"/>
    <w:rsid w:val="00CA1E1B"/>
    <w:rsid w:val="00CA1E85"/>
    <w:rsid w:val="00CA22A1"/>
    <w:rsid w:val="00CA22E7"/>
    <w:rsid w:val="00CA29E7"/>
    <w:rsid w:val="00CA2B87"/>
    <w:rsid w:val="00CA2C06"/>
    <w:rsid w:val="00CA35F0"/>
    <w:rsid w:val="00CA364B"/>
    <w:rsid w:val="00CA48BA"/>
    <w:rsid w:val="00CA532D"/>
    <w:rsid w:val="00CA5854"/>
    <w:rsid w:val="00CA58FF"/>
    <w:rsid w:val="00CA5B2C"/>
    <w:rsid w:val="00CA68FA"/>
    <w:rsid w:val="00CA6A2B"/>
    <w:rsid w:val="00CA6B88"/>
    <w:rsid w:val="00CA7AAC"/>
    <w:rsid w:val="00CB0632"/>
    <w:rsid w:val="00CB0E9E"/>
    <w:rsid w:val="00CB0EBE"/>
    <w:rsid w:val="00CB0F9F"/>
    <w:rsid w:val="00CB134A"/>
    <w:rsid w:val="00CB1F38"/>
    <w:rsid w:val="00CB2001"/>
    <w:rsid w:val="00CB2219"/>
    <w:rsid w:val="00CB227A"/>
    <w:rsid w:val="00CB2474"/>
    <w:rsid w:val="00CB2827"/>
    <w:rsid w:val="00CB2A8F"/>
    <w:rsid w:val="00CB2ABF"/>
    <w:rsid w:val="00CB3441"/>
    <w:rsid w:val="00CB39D5"/>
    <w:rsid w:val="00CB4B56"/>
    <w:rsid w:val="00CB5316"/>
    <w:rsid w:val="00CB58C2"/>
    <w:rsid w:val="00CB5C06"/>
    <w:rsid w:val="00CB5CB4"/>
    <w:rsid w:val="00CB5DE6"/>
    <w:rsid w:val="00CB6003"/>
    <w:rsid w:val="00CB6B84"/>
    <w:rsid w:val="00CB6D5C"/>
    <w:rsid w:val="00CB7262"/>
    <w:rsid w:val="00CB7546"/>
    <w:rsid w:val="00CB75DC"/>
    <w:rsid w:val="00CB77A8"/>
    <w:rsid w:val="00CB7B9D"/>
    <w:rsid w:val="00CB7CDB"/>
    <w:rsid w:val="00CB7D4E"/>
    <w:rsid w:val="00CB7FBE"/>
    <w:rsid w:val="00CC03AE"/>
    <w:rsid w:val="00CC0A56"/>
    <w:rsid w:val="00CC0DFA"/>
    <w:rsid w:val="00CC0FB4"/>
    <w:rsid w:val="00CC12BB"/>
    <w:rsid w:val="00CC1525"/>
    <w:rsid w:val="00CC164F"/>
    <w:rsid w:val="00CC16DA"/>
    <w:rsid w:val="00CC16EE"/>
    <w:rsid w:val="00CC1859"/>
    <w:rsid w:val="00CC1E78"/>
    <w:rsid w:val="00CC1EDB"/>
    <w:rsid w:val="00CC1F89"/>
    <w:rsid w:val="00CC212F"/>
    <w:rsid w:val="00CC22B1"/>
    <w:rsid w:val="00CC268A"/>
    <w:rsid w:val="00CC291C"/>
    <w:rsid w:val="00CC2AC9"/>
    <w:rsid w:val="00CC2CB6"/>
    <w:rsid w:val="00CC35B4"/>
    <w:rsid w:val="00CC3692"/>
    <w:rsid w:val="00CC36D1"/>
    <w:rsid w:val="00CC37BC"/>
    <w:rsid w:val="00CC441E"/>
    <w:rsid w:val="00CC44E7"/>
    <w:rsid w:val="00CC44F1"/>
    <w:rsid w:val="00CC4764"/>
    <w:rsid w:val="00CC4888"/>
    <w:rsid w:val="00CC4A92"/>
    <w:rsid w:val="00CC4FDF"/>
    <w:rsid w:val="00CC5287"/>
    <w:rsid w:val="00CC5AD3"/>
    <w:rsid w:val="00CC5EBB"/>
    <w:rsid w:val="00CC5EC7"/>
    <w:rsid w:val="00CC6684"/>
    <w:rsid w:val="00CC670F"/>
    <w:rsid w:val="00CC6D3B"/>
    <w:rsid w:val="00CC725A"/>
    <w:rsid w:val="00CC75C2"/>
    <w:rsid w:val="00CC7C90"/>
    <w:rsid w:val="00CD00ED"/>
    <w:rsid w:val="00CD0134"/>
    <w:rsid w:val="00CD04FD"/>
    <w:rsid w:val="00CD0514"/>
    <w:rsid w:val="00CD1034"/>
    <w:rsid w:val="00CD1105"/>
    <w:rsid w:val="00CD149F"/>
    <w:rsid w:val="00CD1A22"/>
    <w:rsid w:val="00CD1A9D"/>
    <w:rsid w:val="00CD1BFD"/>
    <w:rsid w:val="00CD2136"/>
    <w:rsid w:val="00CD21D7"/>
    <w:rsid w:val="00CD25B2"/>
    <w:rsid w:val="00CD27C8"/>
    <w:rsid w:val="00CD2805"/>
    <w:rsid w:val="00CD2DEB"/>
    <w:rsid w:val="00CD2FBC"/>
    <w:rsid w:val="00CD3490"/>
    <w:rsid w:val="00CD36A9"/>
    <w:rsid w:val="00CD3750"/>
    <w:rsid w:val="00CD3A64"/>
    <w:rsid w:val="00CD3E96"/>
    <w:rsid w:val="00CD43B3"/>
    <w:rsid w:val="00CD4EE2"/>
    <w:rsid w:val="00CD4FFE"/>
    <w:rsid w:val="00CD51DB"/>
    <w:rsid w:val="00CD5720"/>
    <w:rsid w:val="00CD578C"/>
    <w:rsid w:val="00CD6A65"/>
    <w:rsid w:val="00CD78EF"/>
    <w:rsid w:val="00CE00C2"/>
    <w:rsid w:val="00CE0245"/>
    <w:rsid w:val="00CE068F"/>
    <w:rsid w:val="00CE0F84"/>
    <w:rsid w:val="00CE1570"/>
    <w:rsid w:val="00CE1647"/>
    <w:rsid w:val="00CE175B"/>
    <w:rsid w:val="00CE191C"/>
    <w:rsid w:val="00CE198C"/>
    <w:rsid w:val="00CE1C90"/>
    <w:rsid w:val="00CE20DA"/>
    <w:rsid w:val="00CE2628"/>
    <w:rsid w:val="00CE2B36"/>
    <w:rsid w:val="00CE2FBD"/>
    <w:rsid w:val="00CE376A"/>
    <w:rsid w:val="00CE37F2"/>
    <w:rsid w:val="00CE3B9C"/>
    <w:rsid w:val="00CE3E67"/>
    <w:rsid w:val="00CE3EAD"/>
    <w:rsid w:val="00CE41D2"/>
    <w:rsid w:val="00CE44AD"/>
    <w:rsid w:val="00CE4562"/>
    <w:rsid w:val="00CE474B"/>
    <w:rsid w:val="00CE47C2"/>
    <w:rsid w:val="00CE49B1"/>
    <w:rsid w:val="00CE4BF9"/>
    <w:rsid w:val="00CE4E97"/>
    <w:rsid w:val="00CE4F26"/>
    <w:rsid w:val="00CE55A3"/>
    <w:rsid w:val="00CE5B96"/>
    <w:rsid w:val="00CE5C72"/>
    <w:rsid w:val="00CE5DAF"/>
    <w:rsid w:val="00CE628D"/>
    <w:rsid w:val="00CE652D"/>
    <w:rsid w:val="00CE6998"/>
    <w:rsid w:val="00CE6B7E"/>
    <w:rsid w:val="00CE6E31"/>
    <w:rsid w:val="00CE7BB3"/>
    <w:rsid w:val="00CE7E2E"/>
    <w:rsid w:val="00CE7FFE"/>
    <w:rsid w:val="00CF0167"/>
    <w:rsid w:val="00CF066A"/>
    <w:rsid w:val="00CF07EB"/>
    <w:rsid w:val="00CF0C48"/>
    <w:rsid w:val="00CF0E27"/>
    <w:rsid w:val="00CF1035"/>
    <w:rsid w:val="00CF1084"/>
    <w:rsid w:val="00CF1174"/>
    <w:rsid w:val="00CF1443"/>
    <w:rsid w:val="00CF1521"/>
    <w:rsid w:val="00CF15A7"/>
    <w:rsid w:val="00CF1666"/>
    <w:rsid w:val="00CF175D"/>
    <w:rsid w:val="00CF1824"/>
    <w:rsid w:val="00CF1A41"/>
    <w:rsid w:val="00CF1BE6"/>
    <w:rsid w:val="00CF1FB3"/>
    <w:rsid w:val="00CF2070"/>
    <w:rsid w:val="00CF22CD"/>
    <w:rsid w:val="00CF2342"/>
    <w:rsid w:val="00CF2A03"/>
    <w:rsid w:val="00CF2D76"/>
    <w:rsid w:val="00CF348E"/>
    <w:rsid w:val="00CF37C0"/>
    <w:rsid w:val="00CF46F8"/>
    <w:rsid w:val="00CF4E31"/>
    <w:rsid w:val="00CF55C0"/>
    <w:rsid w:val="00CF5666"/>
    <w:rsid w:val="00CF5882"/>
    <w:rsid w:val="00CF6288"/>
    <w:rsid w:val="00CF63E3"/>
    <w:rsid w:val="00CF64A0"/>
    <w:rsid w:val="00CF6793"/>
    <w:rsid w:val="00CF67F0"/>
    <w:rsid w:val="00CF6D85"/>
    <w:rsid w:val="00CF6FA5"/>
    <w:rsid w:val="00CF723D"/>
    <w:rsid w:val="00CF7EE5"/>
    <w:rsid w:val="00D00378"/>
    <w:rsid w:val="00D003C1"/>
    <w:rsid w:val="00D0045F"/>
    <w:rsid w:val="00D005BA"/>
    <w:rsid w:val="00D0065D"/>
    <w:rsid w:val="00D00EFA"/>
    <w:rsid w:val="00D01076"/>
    <w:rsid w:val="00D0110A"/>
    <w:rsid w:val="00D01682"/>
    <w:rsid w:val="00D01DDE"/>
    <w:rsid w:val="00D01FEF"/>
    <w:rsid w:val="00D03607"/>
    <w:rsid w:val="00D040D5"/>
    <w:rsid w:val="00D041D7"/>
    <w:rsid w:val="00D043F8"/>
    <w:rsid w:val="00D04C05"/>
    <w:rsid w:val="00D04F96"/>
    <w:rsid w:val="00D05E56"/>
    <w:rsid w:val="00D065E1"/>
    <w:rsid w:val="00D06B0F"/>
    <w:rsid w:val="00D06CE6"/>
    <w:rsid w:val="00D06F19"/>
    <w:rsid w:val="00D07366"/>
    <w:rsid w:val="00D07514"/>
    <w:rsid w:val="00D0777F"/>
    <w:rsid w:val="00D079C2"/>
    <w:rsid w:val="00D07B7A"/>
    <w:rsid w:val="00D07BF8"/>
    <w:rsid w:val="00D100D3"/>
    <w:rsid w:val="00D101CA"/>
    <w:rsid w:val="00D1022E"/>
    <w:rsid w:val="00D1024B"/>
    <w:rsid w:val="00D10541"/>
    <w:rsid w:val="00D1079F"/>
    <w:rsid w:val="00D10AF8"/>
    <w:rsid w:val="00D10B72"/>
    <w:rsid w:val="00D10D89"/>
    <w:rsid w:val="00D10F5F"/>
    <w:rsid w:val="00D11471"/>
    <w:rsid w:val="00D11623"/>
    <w:rsid w:val="00D11D2D"/>
    <w:rsid w:val="00D121C0"/>
    <w:rsid w:val="00D125EE"/>
    <w:rsid w:val="00D12757"/>
    <w:rsid w:val="00D12A73"/>
    <w:rsid w:val="00D12B01"/>
    <w:rsid w:val="00D12BA6"/>
    <w:rsid w:val="00D12BE8"/>
    <w:rsid w:val="00D12E78"/>
    <w:rsid w:val="00D13743"/>
    <w:rsid w:val="00D139C6"/>
    <w:rsid w:val="00D13A6E"/>
    <w:rsid w:val="00D13A7B"/>
    <w:rsid w:val="00D13AE7"/>
    <w:rsid w:val="00D13CDE"/>
    <w:rsid w:val="00D13FFA"/>
    <w:rsid w:val="00D1417F"/>
    <w:rsid w:val="00D142C2"/>
    <w:rsid w:val="00D14B9F"/>
    <w:rsid w:val="00D14DF9"/>
    <w:rsid w:val="00D150EE"/>
    <w:rsid w:val="00D15278"/>
    <w:rsid w:val="00D153B2"/>
    <w:rsid w:val="00D1543E"/>
    <w:rsid w:val="00D1592D"/>
    <w:rsid w:val="00D15A07"/>
    <w:rsid w:val="00D15A2F"/>
    <w:rsid w:val="00D15D30"/>
    <w:rsid w:val="00D15DAE"/>
    <w:rsid w:val="00D1691B"/>
    <w:rsid w:val="00D16BC9"/>
    <w:rsid w:val="00D16C9C"/>
    <w:rsid w:val="00D1715D"/>
    <w:rsid w:val="00D1758F"/>
    <w:rsid w:val="00D17614"/>
    <w:rsid w:val="00D17782"/>
    <w:rsid w:val="00D1778C"/>
    <w:rsid w:val="00D17A84"/>
    <w:rsid w:val="00D20936"/>
    <w:rsid w:val="00D20C7E"/>
    <w:rsid w:val="00D21570"/>
    <w:rsid w:val="00D215F2"/>
    <w:rsid w:val="00D21BCC"/>
    <w:rsid w:val="00D21F03"/>
    <w:rsid w:val="00D22647"/>
    <w:rsid w:val="00D22821"/>
    <w:rsid w:val="00D229EF"/>
    <w:rsid w:val="00D22B55"/>
    <w:rsid w:val="00D2374B"/>
    <w:rsid w:val="00D23754"/>
    <w:rsid w:val="00D2379F"/>
    <w:rsid w:val="00D23A52"/>
    <w:rsid w:val="00D23ACB"/>
    <w:rsid w:val="00D23AD9"/>
    <w:rsid w:val="00D23FC4"/>
    <w:rsid w:val="00D2472D"/>
    <w:rsid w:val="00D2488F"/>
    <w:rsid w:val="00D24C7F"/>
    <w:rsid w:val="00D25302"/>
    <w:rsid w:val="00D2568A"/>
    <w:rsid w:val="00D25C63"/>
    <w:rsid w:val="00D260C5"/>
    <w:rsid w:val="00D263CB"/>
    <w:rsid w:val="00D264F8"/>
    <w:rsid w:val="00D26557"/>
    <w:rsid w:val="00D26832"/>
    <w:rsid w:val="00D26863"/>
    <w:rsid w:val="00D26A77"/>
    <w:rsid w:val="00D26AA7"/>
    <w:rsid w:val="00D26B6A"/>
    <w:rsid w:val="00D26BE7"/>
    <w:rsid w:val="00D27052"/>
    <w:rsid w:val="00D27150"/>
    <w:rsid w:val="00D2716F"/>
    <w:rsid w:val="00D271BB"/>
    <w:rsid w:val="00D27629"/>
    <w:rsid w:val="00D27793"/>
    <w:rsid w:val="00D27BD0"/>
    <w:rsid w:val="00D30273"/>
    <w:rsid w:val="00D31E2F"/>
    <w:rsid w:val="00D3229D"/>
    <w:rsid w:val="00D33159"/>
    <w:rsid w:val="00D331FC"/>
    <w:rsid w:val="00D334CE"/>
    <w:rsid w:val="00D33737"/>
    <w:rsid w:val="00D34150"/>
    <w:rsid w:val="00D342A4"/>
    <w:rsid w:val="00D348FA"/>
    <w:rsid w:val="00D34B32"/>
    <w:rsid w:val="00D35777"/>
    <w:rsid w:val="00D357B5"/>
    <w:rsid w:val="00D359EC"/>
    <w:rsid w:val="00D35C18"/>
    <w:rsid w:val="00D35F9D"/>
    <w:rsid w:val="00D36010"/>
    <w:rsid w:val="00D3603E"/>
    <w:rsid w:val="00D366C5"/>
    <w:rsid w:val="00D36A1B"/>
    <w:rsid w:val="00D3724F"/>
    <w:rsid w:val="00D377D6"/>
    <w:rsid w:val="00D378FB"/>
    <w:rsid w:val="00D379D7"/>
    <w:rsid w:val="00D4005A"/>
    <w:rsid w:val="00D401A4"/>
    <w:rsid w:val="00D40517"/>
    <w:rsid w:val="00D407E7"/>
    <w:rsid w:val="00D40BC9"/>
    <w:rsid w:val="00D418A1"/>
    <w:rsid w:val="00D41D3D"/>
    <w:rsid w:val="00D42321"/>
    <w:rsid w:val="00D4241B"/>
    <w:rsid w:val="00D42893"/>
    <w:rsid w:val="00D42D99"/>
    <w:rsid w:val="00D432F7"/>
    <w:rsid w:val="00D43AD0"/>
    <w:rsid w:val="00D43B47"/>
    <w:rsid w:val="00D43DD4"/>
    <w:rsid w:val="00D43E2F"/>
    <w:rsid w:val="00D43FF3"/>
    <w:rsid w:val="00D44811"/>
    <w:rsid w:val="00D44A45"/>
    <w:rsid w:val="00D44A49"/>
    <w:rsid w:val="00D44DB0"/>
    <w:rsid w:val="00D44EAC"/>
    <w:rsid w:val="00D4547B"/>
    <w:rsid w:val="00D45548"/>
    <w:rsid w:val="00D4558B"/>
    <w:rsid w:val="00D4569F"/>
    <w:rsid w:val="00D457A7"/>
    <w:rsid w:val="00D458FB"/>
    <w:rsid w:val="00D45B8C"/>
    <w:rsid w:val="00D45E4A"/>
    <w:rsid w:val="00D465CC"/>
    <w:rsid w:val="00D47060"/>
    <w:rsid w:val="00D471CF"/>
    <w:rsid w:val="00D47334"/>
    <w:rsid w:val="00D47450"/>
    <w:rsid w:val="00D47713"/>
    <w:rsid w:val="00D47B77"/>
    <w:rsid w:val="00D47C39"/>
    <w:rsid w:val="00D47E81"/>
    <w:rsid w:val="00D5080E"/>
    <w:rsid w:val="00D50CFF"/>
    <w:rsid w:val="00D50E82"/>
    <w:rsid w:val="00D50EA3"/>
    <w:rsid w:val="00D50F8C"/>
    <w:rsid w:val="00D51256"/>
    <w:rsid w:val="00D513E2"/>
    <w:rsid w:val="00D5142F"/>
    <w:rsid w:val="00D51581"/>
    <w:rsid w:val="00D51810"/>
    <w:rsid w:val="00D51B73"/>
    <w:rsid w:val="00D51FC9"/>
    <w:rsid w:val="00D520A0"/>
    <w:rsid w:val="00D52700"/>
    <w:rsid w:val="00D527A2"/>
    <w:rsid w:val="00D528A4"/>
    <w:rsid w:val="00D52A84"/>
    <w:rsid w:val="00D52D76"/>
    <w:rsid w:val="00D52D98"/>
    <w:rsid w:val="00D53070"/>
    <w:rsid w:val="00D53545"/>
    <w:rsid w:val="00D53B7A"/>
    <w:rsid w:val="00D54312"/>
    <w:rsid w:val="00D5479C"/>
    <w:rsid w:val="00D5488A"/>
    <w:rsid w:val="00D54E53"/>
    <w:rsid w:val="00D55002"/>
    <w:rsid w:val="00D555CE"/>
    <w:rsid w:val="00D55AB3"/>
    <w:rsid w:val="00D55BE6"/>
    <w:rsid w:val="00D55C4F"/>
    <w:rsid w:val="00D563F1"/>
    <w:rsid w:val="00D56D55"/>
    <w:rsid w:val="00D56FC7"/>
    <w:rsid w:val="00D57181"/>
    <w:rsid w:val="00D57EEE"/>
    <w:rsid w:val="00D6019F"/>
    <w:rsid w:val="00D60300"/>
    <w:rsid w:val="00D604CF"/>
    <w:rsid w:val="00D60514"/>
    <w:rsid w:val="00D60646"/>
    <w:rsid w:val="00D60A60"/>
    <w:rsid w:val="00D616F2"/>
    <w:rsid w:val="00D61BE3"/>
    <w:rsid w:val="00D625E8"/>
    <w:rsid w:val="00D626D3"/>
    <w:rsid w:val="00D628DA"/>
    <w:rsid w:val="00D62A9F"/>
    <w:rsid w:val="00D62AAB"/>
    <w:rsid w:val="00D62DB6"/>
    <w:rsid w:val="00D62FB3"/>
    <w:rsid w:val="00D62FC5"/>
    <w:rsid w:val="00D6391C"/>
    <w:rsid w:val="00D64109"/>
    <w:rsid w:val="00D64938"/>
    <w:rsid w:val="00D64A04"/>
    <w:rsid w:val="00D64C4A"/>
    <w:rsid w:val="00D64D0C"/>
    <w:rsid w:val="00D65F7A"/>
    <w:rsid w:val="00D66098"/>
    <w:rsid w:val="00D66658"/>
    <w:rsid w:val="00D668EA"/>
    <w:rsid w:val="00D6690D"/>
    <w:rsid w:val="00D6694C"/>
    <w:rsid w:val="00D66DAE"/>
    <w:rsid w:val="00D66F2D"/>
    <w:rsid w:val="00D67199"/>
    <w:rsid w:val="00D675FB"/>
    <w:rsid w:val="00D67728"/>
    <w:rsid w:val="00D677F9"/>
    <w:rsid w:val="00D67BAB"/>
    <w:rsid w:val="00D67F7C"/>
    <w:rsid w:val="00D70BDB"/>
    <w:rsid w:val="00D70D5E"/>
    <w:rsid w:val="00D711B5"/>
    <w:rsid w:val="00D717AF"/>
    <w:rsid w:val="00D71982"/>
    <w:rsid w:val="00D71B20"/>
    <w:rsid w:val="00D72152"/>
    <w:rsid w:val="00D726C6"/>
    <w:rsid w:val="00D7291F"/>
    <w:rsid w:val="00D72C93"/>
    <w:rsid w:val="00D72D22"/>
    <w:rsid w:val="00D72E09"/>
    <w:rsid w:val="00D73409"/>
    <w:rsid w:val="00D73767"/>
    <w:rsid w:val="00D73A8F"/>
    <w:rsid w:val="00D73D44"/>
    <w:rsid w:val="00D73DD9"/>
    <w:rsid w:val="00D73E98"/>
    <w:rsid w:val="00D73FCA"/>
    <w:rsid w:val="00D74116"/>
    <w:rsid w:val="00D74573"/>
    <w:rsid w:val="00D7458A"/>
    <w:rsid w:val="00D74A40"/>
    <w:rsid w:val="00D74A8C"/>
    <w:rsid w:val="00D74E95"/>
    <w:rsid w:val="00D75032"/>
    <w:rsid w:val="00D75071"/>
    <w:rsid w:val="00D75CF2"/>
    <w:rsid w:val="00D7615A"/>
    <w:rsid w:val="00D763E8"/>
    <w:rsid w:val="00D7645C"/>
    <w:rsid w:val="00D76546"/>
    <w:rsid w:val="00D76780"/>
    <w:rsid w:val="00D76943"/>
    <w:rsid w:val="00D769F6"/>
    <w:rsid w:val="00D76E44"/>
    <w:rsid w:val="00D77006"/>
    <w:rsid w:val="00D777A1"/>
    <w:rsid w:val="00D77821"/>
    <w:rsid w:val="00D77A97"/>
    <w:rsid w:val="00D77F72"/>
    <w:rsid w:val="00D802FE"/>
    <w:rsid w:val="00D80323"/>
    <w:rsid w:val="00D81289"/>
    <w:rsid w:val="00D8144B"/>
    <w:rsid w:val="00D815E4"/>
    <w:rsid w:val="00D81CE5"/>
    <w:rsid w:val="00D825E1"/>
    <w:rsid w:val="00D82602"/>
    <w:rsid w:val="00D82C3A"/>
    <w:rsid w:val="00D83B98"/>
    <w:rsid w:val="00D83DC0"/>
    <w:rsid w:val="00D83FA8"/>
    <w:rsid w:val="00D848E0"/>
    <w:rsid w:val="00D853F2"/>
    <w:rsid w:val="00D855EF"/>
    <w:rsid w:val="00D85639"/>
    <w:rsid w:val="00D85B07"/>
    <w:rsid w:val="00D85BF3"/>
    <w:rsid w:val="00D85D4E"/>
    <w:rsid w:val="00D8664B"/>
    <w:rsid w:val="00D869CA"/>
    <w:rsid w:val="00D86E92"/>
    <w:rsid w:val="00D86F6E"/>
    <w:rsid w:val="00D876B6"/>
    <w:rsid w:val="00D87BB2"/>
    <w:rsid w:val="00D87C5A"/>
    <w:rsid w:val="00D87C61"/>
    <w:rsid w:val="00D87DD2"/>
    <w:rsid w:val="00D902C0"/>
    <w:rsid w:val="00D904F4"/>
    <w:rsid w:val="00D91321"/>
    <w:rsid w:val="00D9134A"/>
    <w:rsid w:val="00D913DC"/>
    <w:rsid w:val="00D91F66"/>
    <w:rsid w:val="00D923BE"/>
    <w:rsid w:val="00D924BF"/>
    <w:rsid w:val="00D9251D"/>
    <w:rsid w:val="00D92CCE"/>
    <w:rsid w:val="00D93167"/>
    <w:rsid w:val="00D93990"/>
    <w:rsid w:val="00D939CA"/>
    <w:rsid w:val="00D93A19"/>
    <w:rsid w:val="00D93AAD"/>
    <w:rsid w:val="00D93F39"/>
    <w:rsid w:val="00D94251"/>
    <w:rsid w:val="00D94256"/>
    <w:rsid w:val="00D9465F"/>
    <w:rsid w:val="00D9491C"/>
    <w:rsid w:val="00D94B48"/>
    <w:rsid w:val="00D95860"/>
    <w:rsid w:val="00D95938"/>
    <w:rsid w:val="00D959F4"/>
    <w:rsid w:val="00D95C53"/>
    <w:rsid w:val="00D96549"/>
    <w:rsid w:val="00D96792"/>
    <w:rsid w:val="00D96801"/>
    <w:rsid w:val="00D96BF1"/>
    <w:rsid w:val="00D96DC1"/>
    <w:rsid w:val="00D96FCA"/>
    <w:rsid w:val="00D97607"/>
    <w:rsid w:val="00DA091B"/>
    <w:rsid w:val="00DA0A71"/>
    <w:rsid w:val="00DA172D"/>
    <w:rsid w:val="00DA1938"/>
    <w:rsid w:val="00DA1AE2"/>
    <w:rsid w:val="00DA1F86"/>
    <w:rsid w:val="00DA20A9"/>
    <w:rsid w:val="00DA2486"/>
    <w:rsid w:val="00DA29D4"/>
    <w:rsid w:val="00DA338E"/>
    <w:rsid w:val="00DA36EF"/>
    <w:rsid w:val="00DA398B"/>
    <w:rsid w:val="00DA3A52"/>
    <w:rsid w:val="00DA3B3B"/>
    <w:rsid w:val="00DA4CA2"/>
    <w:rsid w:val="00DA529C"/>
    <w:rsid w:val="00DA5327"/>
    <w:rsid w:val="00DA545F"/>
    <w:rsid w:val="00DA5FDB"/>
    <w:rsid w:val="00DA6457"/>
    <w:rsid w:val="00DA64D7"/>
    <w:rsid w:val="00DA671A"/>
    <w:rsid w:val="00DA6A48"/>
    <w:rsid w:val="00DA6BE3"/>
    <w:rsid w:val="00DA7258"/>
    <w:rsid w:val="00DA7B4A"/>
    <w:rsid w:val="00DB00C5"/>
    <w:rsid w:val="00DB00E4"/>
    <w:rsid w:val="00DB09CB"/>
    <w:rsid w:val="00DB12D4"/>
    <w:rsid w:val="00DB13A4"/>
    <w:rsid w:val="00DB160D"/>
    <w:rsid w:val="00DB1795"/>
    <w:rsid w:val="00DB1904"/>
    <w:rsid w:val="00DB1C5E"/>
    <w:rsid w:val="00DB1C5F"/>
    <w:rsid w:val="00DB2627"/>
    <w:rsid w:val="00DB28D6"/>
    <w:rsid w:val="00DB29DB"/>
    <w:rsid w:val="00DB32EB"/>
    <w:rsid w:val="00DB3827"/>
    <w:rsid w:val="00DB389B"/>
    <w:rsid w:val="00DB3E9E"/>
    <w:rsid w:val="00DB479A"/>
    <w:rsid w:val="00DB47FC"/>
    <w:rsid w:val="00DB4A47"/>
    <w:rsid w:val="00DB4E5E"/>
    <w:rsid w:val="00DB5555"/>
    <w:rsid w:val="00DB5D3F"/>
    <w:rsid w:val="00DB5EEB"/>
    <w:rsid w:val="00DB6138"/>
    <w:rsid w:val="00DB635A"/>
    <w:rsid w:val="00DB64B4"/>
    <w:rsid w:val="00DB6590"/>
    <w:rsid w:val="00DB6AFB"/>
    <w:rsid w:val="00DB6B52"/>
    <w:rsid w:val="00DB6BE2"/>
    <w:rsid w:val="00DB6F74"/>
    <w:rsid w:val="00DB7014"/>
    <w:rsid w:val="00DB7D30"/>
    <w:rsid w:val="00DB7D4E"/>
    <w:rsid w:val="00DC00E8"/>
    <w:rsid w:val="00DC013B"/>
    <w:rsid w:val="00DC03BD"/>
    <w:rsid w:val="00DC03D3"/>
    <w:rsid w:val="00DC098D"/>
    <w:rsid w:val="00DC0ABF"/>
    <w:rsid w:val="00DC12BE"/>
    <w:rsid w:val="00DC152A"/>
    <w:rsid w:val="00DC158F"/>
    <w:rsid w:val="00DC2158"/>
    <w:rsid w:val="00DC21B3"/>
    <w:rsid w:val="00DC2497"/>
    <w:rsid w:val="00DC24AE"/>
    <w:rsid w:val="00DC259A"/>
    <w:rsid w:val="00DC2628"/>
    <w:rsid w:val="00DC2A8D"/>
    <w:rsid w:val="00DC2AF6"/>
    <w:rsid w:val="00DC2B41"/>
    <w:rsid w:val="00DC3567"/>
    <w:rsid w:val="00DC3674"/>
    <w:rsid w:val="00DC36EF"/>
    <w:rsid w:val="00DC3AC3"/>
    <w:rsid w:val="00DC40E7"/>
    <w:rsid w:val="00DC430A"/>
    <w:rsid w:val="00DC44A8"/>
    <w:rsid w:val="00DC4503"/>
    <w:rsid w:val="00DC46BA"/>
    <w:rsid w:val="00DC4C9B"/>
    <w:rsid w:val="00DC4D9A"/>
    <w:rsid w:val="00DC5051"/>
    <w:rsid w:val="00DC578F"/>
    <w:rsid w:val="00DC5856"/>
    <w:rsid w:val="00DC5C22"/>
    <w:rsid w:val="00DC6623"/>
    <w:rsid w:val="00DC66D8"/>
    <w:rsid w:val="00DC6885"/>
    <w:rsid w:val="00DC6A39"/>
    <w:rsid w:val="00DC6FC8"/>
    <w:rsid w:val="00DC7113"/>
    <w:rsid w:val="00DC750D"/>
    <w:rsid w:val="00DC7A7D"/>
    <w:rsid w:val="00DC7B24"/>
    <w:rsid w:val="00DC7C59"/>
    <w:rsid w:val="00DD0062"/>
    <w:rsid w:val="00DD0213"/>
    <w:rsid w:val="00DD046F"/>
    <w:rsid w:val="00DD0508"/>
    <w:rsid w:val="00DD0FF2"/>
    <w:rsid w:val="00DD1231"/>
    <w:rsid w:val="00DD1393"/>
    <w:rsid w:val="00DD2222"/>
    <w:rsid w:val="00DD229D"/>
    <w:rsid w:val="00DD2443"/>
    <w:rsid w:val="00DD25EF"/>
    <w:rsid w:val="00DD2686"/>
    <w:rsid w:val="00DD2942"/>
    <w:rsid w:val="00DD2DC5"/>
    <w:rsid w:val="00DD2FB4"/>
    <w:rsid w:val="00DD30B9"/>
    <w:rsid w:val="00DD3BC2"/>
    <w:rsid w:val="00DD4060"/>
    <w:rsid w:val="00DD43E7"/>
    <w:rsid w:val="00DD4653"/>
    <w:rsid w:val="00DD46F8"/>
    <w:rsid w:val="00DD4AC3"/>
    <w:rsid w:val="00DD4B1B"/>
    <w:rsid w:val="00DD4B45"/>
    <w:rsid w:val="00DD5221"/>
    <w:rsid w:val="00DD56F0"/>
    <w:rsid w:val="00DD5EF6"/>
    <w:rsid w:val="00DD5F15"/>
    <w:rsid w:val="00DD60DD"/>
    <w:rsid w:val="00DD62F4"/>
    <w:rsid w:val="00DD66EA"/>
    <w:rsid w:val="00DD674B"/>
    <w:rsid w:val="00DD6BD2"/>
    <w:rsid w:val="00DD6C2A"/>
    <w:rsid w:val="00DD6E42"/>
    <w:rsid w:val="00DD75AF"/>
    <w:rsid w:val="00DD7C89"/>
    <w:rsid w:val="00DD7DCF"/>
    <w:rsid w:val="00DE024E"/>
    <w:rsid w:val="00DE03DF"/>
    <w:rsid w:val="00DE0828"/>
    <w:rsid w:val="00DE0A8B"/>
    <w:rsid w:val="00DE0E5C"/>
    <w:rsid w:val="00DE12AE"/>
    <w:rsid w:val="00DE169C"/>
    <w:rsid w:val="00DE1B9B"/>
    <w:rsid w:val="00DE1BE2"/>
    <w:rsid w:val="00DE338B"/>
    <w:rsid w:val="00DE35F2"/>
    <w:rsid w:val="00DE4170"/>
    <w:rsid w:val="00DE4452"/>
    <w:rsid w:val="00DE4960"/>
    <w:rsid w:val="00DE4AC2"/>
    <w:rsid w:val="00DE5B19"/>
    <w:rsid w:val="00DE5C1B"/>
    <w:rsid w:val="00DE62E1"/>
    <w:rsid w:val="00DE6810"/>
    <w:rsid w:val="00DE69E7"/>
    <w:rsid w:val="00DE6A8A"/>
    <w:rsid w:val="00DE7005"/>
    <w:rsid w:val="00DE70E3"/>
    <w:rsid w:val="00DE7230"/>
    <w:rsid w:val="00DE726F"/>
    <w:rsid w:val="00DE72FB"/>
    <w:rsid w:val="00DE740E"/>
    <w:rsid w:val="00DE78AA"/>
    <w:rsid w:val="00DE7AD1"/>
    <w:rsid w:val="00DE7C01"/>
    <w:rsid w:val="00DF01F7"/>
    <w:rsid w:val="00DF09F3"/>
    <w:rsid w:val="00DF0B33"/>
    <w:rsid w:val="00DF0BE9"/>
    <w:rsid w:val="00DF0F92"/>
    <w:rsid w:val="00DF14CB"/>
    <w:rsid w:val="00DF15BD"/>
    <w:rsid w:val="00DF198B"/>
    <w:rsid w:val="00DF1B0B"/>
    <w:rsid w:val="00DF1C9E"/>
    <w:rsid w:val="00DF2205"/>
    <w:rsid w:val="00DF23B0"/>
    <w:rsid w:val="00DF25CD"/>
    <w:rsid w:val="00DF26E1"/>
    <w:rsid w:val="00DF272F"/>
    <w:rsid w:val="00DF2CF5"/>
    <w:rsid w:val="00DF3371"/>
    <w:rsid w:val="00DF36F6"/>
    <w:rsid w:val="00DF4248"/>
    <w:rsid w:val="00DF47E7"/>
    <w:rsid w:val="00DF4A6A"/>
    <w:rsid w:val="00DF4B7F"/>
    <w:rsid w:val="00DF4E04"/>
    <w:rsid w:val="00DF5407"/>
    <w:rsid w:val="00DF5751"/>
    <w:rsid w:val="00DF5A38"/>
    <w:rsid w:val="00DF5AB9"/>
    <w:rsid w:val="00DF5E96"/>
    <w:rsid w:val="00DF5F1B"/>
    <w:rsid w:val="00DF60CF"/>
    <w:rsid w:val="00DF66A3"/>
    <w:rsid w:val="00DF7917"/>
    <w:rsid w:val="00DF7A18"/>
    <w:rsid w:val="00E00693"/>
    <w:rsid w:val="00E011BB"/>
    <w:rsid w:val="00E01542"/>
    <w:rsid w:val="00E0158D"/>
    <w:rsid w:val="00E017B2"/>
    <w:rsid w:val="00E01941"/>
    <w:rsid w:val="00E02762"/>
    <w:rsid w:val="00E02D2D"/>
    <w:rsid w:val="00E03A0C"/>
    <w:rsid w:val="00E03D92"/>
    <w:rsid w:val="00E04263"/>
    <w:rsid w:val="00E04448"/>
    <w:rsid w:val="00E04486"/>
    <w:rsid w:val="00E0448C"/>
    <w:rsid w:val="00E04763"/>
    <w:rsid w:val="00E04A2D"/>
    <w:rsid w:val="00E04A8E"/>
    <w:rsid w:val="00E04C6B"/>
    <w:rsid w:val="00E04FFF"/>
    <w:rsid w:val="00E05762"/>
    <w:rsid w:val="00E06105"/>
    <w:rsid w:val="00E06694"/>
    <w:rsid w:val="00E06D4B"/>
    <w:rsid w:val="00E07345"/>
    <w:rsid w:val="00E0789F"/>
    <w:rsid w:val="00E07C85"/>
    <w:rsid w:val="00E07E85"/>
    <w:rsid w:val="00E10317"/>
    <w:rsid w:val="00E1047C"/>
    <w:rsid w:val="00E119FF"/>
    <w:rsid w:val="00E11CFB"/>
    <w:rsid w:val="00E12B66"/>
    <w:rsid w:val="00E12BF1"/>
    <w:rsid w:val="00E1313B"/>
    <w:rsid w:val="00E13479"/>
    <w:rsid w:val="00E13958"/>
    <w:rsid w:val="00E14095"/>
    <w:rsid w:val="00E142DD"/>
    <w:rsid w:val="00E147EC"/>
    <w:rsid w:val="00E14DD0"/>
    <w:rsid w:val="00E14E51"/>
    <w:rsid w:val="00E1509F"/>
    <w:rsid w:val="00E150D3"/>
    <w:rsid w:val="00E15225"/>
    <w:rsid w:val="00E15C06"/>
    <w:rsid w:val="00E15EF9"/>
    <w:rsid w:val="00E1613B"/>
    <w:rsid w:val="00E16295"/>
    <w:rsid w:val="00E16352"/>
    <w:rsid w:val="00E16CDC"/>
    <w:rsid w:val="00E17112"/>
    <w:rsid w:val="00E17649"/>
    <w:rsid w:val="00E17BF8"/>
    <w:rsid w:val="00E203A3"/>
    <w:rsid w:val="00E208F4"/>
    <w:rsid w:val="00E20C34"/>
    <w:rsid w:val="00E216D2"/>
    <w:rsid w:val="00E21B3D"/>
    <w:rsid w:val="00E21D24"/>
    <w:rsid w:val="00E222E8"/>
    <w:rsid w:val="00E223C6"/>
    <w:rsid w:val="00E22794"/>
    <w:rsid w:val="00E22A09"/>
    <w:rsid w:val="00E23097"/>
    <w:rsid w:val="00E23228"/>
    <w:rsid w:val="00E2323F"/>
    <w:rsid w:val="00E23259"/>
    <w:rsid w:val="00E23ABA"/>
    <w:rsid w:val="00E243FC"/>
    <w:rsid w:val="00E24D55"/>
    <w:rsid w:val="00E25255"/>
    <w:rsid w:val="00E25308"/>
    <w:rsid w:val="00E25912"/>
    <w:rsid w:val="00E25B1C"/>
    <w:rsid w:val="00E25C24"/>
    <w:rsid w:val="00E266E9"/>
    <w:rsid w:val="00E270EF"/>
    <w:rsid w:val="00E272C8"/>
    <w:rsid w:val="00E275BE"/>
    <w:rsid w:val="00E275E3"/>
    <w:rsid w:val="00E276D0"/>
    <w:rsid w:val="00E27A84"/>
    <w:rsid w:val="00E27DB7"/>
    <w:rsid w:val="00E3002D"/>
    <w:rsid w:val="00E30203"/>
    <w:rsid w:val="00E303D3"/>
    <w:rsid w:val="00E308C2"/>
    <w:rsid w:val="00E30DA4"/>
    <w:rsid w:val="00E31213"/>
    <w:rsid w:val="00E317B0"/>
    <w:rsid w:val="00E31899"/>
    <w:rsid w:val="00E31B9E"/>
    <w:rsid w:val="00E31C63"/>
    <w:rsid w:val="00E31EE4"/>
    <w:rsid w:val="00E321BC"/>
    <w:rsid w:val="00E323E1"/>
    <w:rsid w:val="00E3389E"/>
    <w:rsid w:val="00E33ABF"/>
    <w:rsid w:val="00E33E3F"/>
    <w:rsid w:val="00E3411E"/>
    <w:rsid w:val="00E34570"/>
    <w:rsid w:val="00E3547B"/>
    <w:rsid w:val="00E35A7A"/>
    <w:rsid w:val="00E35CCE"/>
    <w:rsid w:val="00E3620B"/>
    <w:rsid w:val="00E365A6"/>
    <w:rsid w:val="00E368E2"/>
    <w:rsid w:val="00E36A8B"/>
    <w:rsid w:val="00E37093"/>
    <w:rsid w:val="00E37A03"/>
    <w:rsid w:val="00E37AD2"/>
    <w:rsid w:val="00E37EF3"/>
    <w:rsid w:val="00E401F9"/>
    <w:rsid w:val="00E408BE"/>
    <w:rsid w:val="00E41457"/>
    <w:rsid w:val="00E41694"/>
    <w:rsid w:val="00E41773"/>
    <w:rsid w:val="00E4186B"/>
    <w:rsid w:val="00E41B86"/>
    <w:rsid w:val="00E41E0D"/>
    <w:rsid w:val="00E422EB"/>
    <w:rsid w:val="00E426F8"/>
    <w:rsid w:val="00E42D47"/>
    <w:rsid w:val="00E431F0"/>
    <w:rsid w:val="00E43B13"/>
    <w:rsid w:val="00E43B8D"/>
    <w:rsid w:val="00E447C0"/>
    <w:rsid w:val="00E44FF1"/>
    <w:rsid w:val="00E45562"/>
    <w:rsid w:val="00E45A3A"/>
    <w:rsid w:val="00E45D26"/>
    <w:rsid w:val="00E45D82"/>
    <w:rsid w:val="00E46254"/>
    <w:rsid w:val="00E47B25"/>
    <w:rsid w:val="00E47FE3"/>
    <w:rsid w:val="00E502F9"/>
    <w:rsid w:val="00E503EF"/>
    <w:rsid w:val="00E50C5B"/>
    <w:rsid w:val="00E51060"/>
    <w:rsid w:val="00E511D2"/>
    <w:rsid w:val="00E5121E"/>
    <w:rsid w:val="00E51A5A"/>
    <w:rsid w:val="00E51AD6"/>
    <w:rsid w:val="00E51F79"/>
    <w:rsid w:val="00E525B5"/>
    <w:rsid w:val="00E5277B"/>
    <w:rsid w:val="00E52DF7"/>
    <w:rsid w:val="00E53833"/>
    <w:rsid w:val="00E53D32"/>
    <w:rsid w:val="00E54173"/>
    <w:rsid w:val="00E542CD"/>
    <w:rsid w:val="00E547FF"/>
    <w:rsid w:val="00E54AB0"/>
    <w:rsid w:val="00E54D73"/>
    <w:rsid w:val="00E54FA0"/>
    <w:rsid w:val="00E54FA6"/>
    <w:rsid w:val="00E554C5"/>
    <w:rsid w:val="00E55981"/>
    <w:rsid w:val="00E56779"/>
    <w:rsid w:val="00E56A4B"/>
    <w:rsid w:val="00E56B3F"/>
    <w:rsid w:val="00E56CD6"/>
    <w:rsid w:val="00E57484"/>
    <w:rsid w:val="00E57582"/>
    <w:rsid w:val="00E5795B"/>
    <w:rsid w:val="00E57EE5"/>
    <w:rsid w:val="00E57F5D"/>
    <w:rsid w:val="00E60936"/>
    <w:rsid w:val="00E61117"/>
    <w:rsid w:val="00E6140A"/>
    <w:rsid w:val="00E615A3"/>
    <w:rsid w:val="00E61637"/>
    <w:rsid w:val="00E61821"/>
    <w:rsid w:val="00E61C3F"/>
    <w:rsid w:val="00E61FCB"/>
    <w:rsid w:val="00E62866"/>
    <w:rsid w:val="00E62880"/>
    <w:rsid w:val="00E629D5"/>
    <w:rsid w:val="00E62FD2"/>
    <w:rsid w:val="00E633C0"/>
    <w:rsid w:val="00E63821"/>
    <w:rsid w:val="00E639C9"/>
    <w:rsid w:val="00E641F9"/>
    <w:rsid w:val="00E642C9"/>
    <w:rsid w:val="00E64861"/>
    <w:rsid w:val="00E6544C"/>
    <w:rsid w:val="00E6574A"/>
    <w:rsid w:val="00E65B6C"/>
    <w:rsid w:val="00E65C2A"/>
    <w:rsid w:val="00E65DE8"/>
    <w:rsid w:val="00E65F5D"/>
    <w:rsid w:val="00E66304"/>
    <w:rsid w:val="00E665B7"/>
    <w:rsid w:val="00E66D6E"/>
    <w:rsid w:val="00E66FC2"/>
    <w:rsid w:val="00E670BB"/>
    <w:rsid w:val="00E67B3C"/>
    <w:rsid w:val="00E67E20"/>
    <w:rsid w:val="00E7010D"/>
    <w:rsid w:val="00E70187"/>
    <w:rsid w:val="00E704F6"/>
    <w:rsid w:val="00E70A93"/>
    <w:rsid w:val="00E71175"/>
    <w:rsid w:val="00E71EE7"/>
    <w:rsid w:val="00E71F71"/>
    <w:rsid w:val="00E72989"/>
    <w:rsid w:val="00E72C74"/>
    <w:rsid w:val="00E73271"/>
    <w:rsid w:val="00E7364E"/>
    <w:rsid w:val="00E73BF8"/>
    <w:rsid w:val="00E73DAF"/>
    <w:rsid w:val="00E744E2"/>
    <w:rsid w:val="00E7495D"/>
    <w:rsid w:val="00E749CC"/>
    <w:rsid w:val="00E74A94"/>
    <w:rsid w:val="00E74C13"/>
    <w:rsid w:val="00E74CE3"/>
    <w:rsid w:val="00E753BA"/>
    <w:rsid w:val="00E75B51"/>
    <w:rsid w:val="00E75E22"/>
    <w:rsid w:val="00E75F02"/>
    <w:rsid w:val="00E76032"/>
    <w:rsid w:val="00E760EA"/>
    <w:rsid w:val="00E76647"/>
    <w:rsid w:val="00E769B9"/>
    <w:rsid w:val="00E76B32"/>
    <w:rsid w:val="00E76F50"/>
    <w:rsid w:val="00E7760D"/>
    <w:rsid w:val="00E779CB"/>
    <w:rsid w:val="00E77C8A"/>
    <w:rsid w:val="00E804A1"/>
    <w:rsid w:val="00E807F8"/>
    <w:rsid w:val="00E8099E"/>
    <w:rsid w:val="00E80B6C"/>
    <w:rsid w:val="00E80DD9"/>
    <w:rsid w:val="00E8121F"/>
    <w:rsid w:val="00E81AFE"/>
    <w:rsid w:val="00E81EB2"/>
    <w:rsid w:val="00E825B5"/>
    <w:rsid w:val="00E8276F"/>
    <w:rsid w:val="00E8294B"/>
    <w:rsid w:val="00E82B4C"/>
    <w:rsid w:val="00E82DF3"/>
    <w:rsid w:val="00E82E11"/>
    <w:rsid w:val="00E82EC5"/>
    <w:rsid w:val="00E82FEA"/>
    <w:rsid w:val="00E831E1"/>
    <w:rsid w:val="00E83251"/>
    <w:rsid w:val="00E843B3"/>
    <w:rsid w:val="00E843DC"/>
    <w:rsid w:val="00E84442"/>
    <w:rsid w:val="00E84619"/>
    <w:rsid w:val="00E84A97"/>
    <w:rsid w:val="00E84FA7"/>
    <w:rsid w:val="00E852F4"/>
    <w:rsid w:val="00E85957"/>
    <w:rsid w:val="00E859B5"/>
    <w:rsid w:val="00E85DD7"/>
    <w:rsid w:val="00E86089"/>
    <w:rsid w:val="00E8675A"/>
    <w:rsid w:val="00E86C7D"/>
    <w:rsid w:val="00E86EC0"/>
    <w:rsid w:val="00E8729F"/>
    <w:rsid w:val="00E87640"/>
    <w:rsid w:val="00E87687"/>
    <w:rsid w:val="00E877A9"/>
    <w:rsid w:val="00E87A31"/>
    <w:rsid w:val="00E90238"/>
    <w:rsid w:val="00E902F2"/>
    <w:rsid w:val="00E903E7"/>
    <w:rsid w:val="00E9067D"/>
    <w:rsid w:val="00E9079D"/>
    <w:rsid w:val="00E908AC"/>
    <w:rsid w:val="00E90AAD"/>
    <w:rsid w:val="00E91236"/>
    <w:rsid w:val="00E9154D"/>
    <w:rsid w:val="00E919BB"/>
    <w:rsid w:val="00E91E57"/>
    <w:rsid w:val="00E91ED4"/>
    <w:rsid w:val="00E923F2"/>
    <w:rsid w:val="00E92541"/>
    <w:rsid w:val="00E92EE4"/>
    <w:rsid w:val="00E93202"/>
    <w:rsid w:val="00E934F1"/>
    <w:rsid w:val="00E93FCC"/>
    <w:rsid w:val="00E941A7"/>
    <w:rsid w:val="00E94330"/>
    <w:rsid w:val="00E944DB"/>
    <w:rsid w:val="00E94592"/>
    <w:rsid w:val="00E9459F"/>
    <w:rsid w:val="00E94B6E"/>
    <w:rsid w:val="00E94F5B"/>
    <w:rsid w:val="00E95593"/>
    <w:rsid w:val="00E95787"/>
    <w:rsid w:val="00E958B5"/>
    <w:rsid w:val="00E95E62"/>
    <w:rsid w:val="00E95F4C"/>
    <w:rsid w:val="00E96979"/>
    <w:rsid w:val="00E972D9"/>
    <w:rsid w:val="00E97891"/>
    <w:rsid w:val="00E97B68"/>
    <w:rsid w:val="00E97BBC"/>
    <w:rsid w:val="00E97CD8"/>
    <w:rsid w:val="00EA0276"/>
    <w:rsid w:val="00EA03D6"/>
    <w:rsid w:val="00EA0AD0"/>
    <w:rsid w:val="00EA0E84"/>
    <w:rsid w:val="00EA0F76"/>
    <w:rsid w:val="00EA0FE1"/>
    <w:rsid w:val="00EA12F6"/>
    <w:rsid w:val="00EA1486"/>
    <w:rsid w:val="00EA16CC"/>
    <w:rsid w:val="00EA1ABD"/>
    <w:rsid w:val="00EA1C89"/>
    <w:rsid w:val="00EA1FDD"/>
    <w:rsid w:val="00EA2100"/>
    <w:rsid w:val="00EA2257"/>
    <w:rsid w:val="00EA2784"/>
    <w:rsid w:val="00EA3291"/>
    <w:rsid w:val="00EA34E1"/>
    <w:rsid w:val="00EA377B"/>
    <w:rsid w:val="00EA3859"/>
    <w:rsid w:val="00EA38F4"/>
    <w:rsid w:val="00EA3D0E"/>
    <w:rsid w:val="00EA3E46"/>
    <w:rsid w:val="00EA41E0"/>
    <w:rsid w:val="00EA4990"/>
    <w:rsid w:val="00EA4B4D"/>
    <w:rsid w:val="00EA4CB0"/>
    <w:rsid w:val="00EA506B"/>
    <w:rsid w:val="00EA5ABB"/>
    <w:rsid w:val="00EA5ADA"/>
    <w:rsid w:val="00EA5E26"/>
    <w:rsid w:val="00EA5E75"/>
    <w:rsid w:val="00EA6135"/>
    <w:rsid w:val="00EA6308"/>
    <w:rsid w:val="00EA6C25"/>
    <w:rsid w:val="00EA6CCD"/>
    <w:rsid w:val="00EA71B1"/>
    <w:rsid w:val="00EA7481"/>
    <w:rsid w:val="00EA74DC"/>
    <w:rsid w:val="00EA75F3"/>
    <w:rsid w:val="00EA7865"/>
    <w:rsid w:val="00EA7E24"/>
    <w:rsid w:val="00EB05B9"/>
    <w:rsid w:val="00EB0DC1"/>
    <w:rsid w:val="00EB1195"/>
    <w:rsid w:val="00EB11B8"/>
    <w:rsid w:val="00EB124C"/>
    <w:rsid w:val="00EB12B4"/>
    <w:rsid w:val="00EB23D9"/>
    <w:rsid w:val="00EB35E3"/>
    <w:rsid w:val="00EB35F0"/>
    <w:rsid w:val="00EB39A7"/>
    <w:rsid w:val="00EB3E39"/>
    <w:rsid w:val="00EB451A"/>
    <w:rsid w:val="00EB4540"/>
    <w:rsid w:val="00EB471E"/>
    <w:rsid w:val="00EB4854"/>
    <w:rsid w:val="00EB4E06"/>
    <w:rsid w:val="00EB5242"/>
    <w:rsid w:val="00EB56F7"/>
    <w:rsid w:val="00EB56FE"/>
    <w:rsid w:val="00EB5F24"/>
    <w:rsid w:val="00EB64A3"/>
    <w:rsid w:val="00EB69D1"/>
    <w:rsid w:val="00EB6B7D"/>
    <w:rsid w:val="00EB708A"/>
    <w:rsid w:val="00EB711E"/>
    <w:rsid w:val="00EB749D"/>
    <w:rsid w:val="00EB787A"/>
    <w:rsid w:val="00EB7CF0"/>
    <w:rsid w:val="00EB7D49"/>
    <w:rsid w:val="00EC0110"/>
    <w:rsid w:val="00EC068E"/>
    <w:rsid w:val="00EC071C"/>
    <w:rsid w:val="00EC0AD0"/>
    <w:rsid w:val="00EC0BAF"/>
    <w:rsid w:val="00EC0F5F"/>
    <w:rsid w:val="00EC105D"/>
    <w:rsid w:val="00EC12C6"/>
    <w:rsid w:val="00EC1D26"/>
    <w:rsid w:val="00EC216C"/>
    <w:rsid w:val="00EC21C0"/>
    <w:rsid w:val="00EC2480"/>
    <w:rsid w:val="00EC2853"/>
    <w:rsid w:val="00EC28E9"/>
    <w:rsid w:val="00EC2A21"/>
    <w:rsid w:val="00EC2B0F"/>
    <w:rsid w:val="00EC2CCE"/>
    <w:rsid w:val="00EC3B80"/>
    <w:rsid w:val="00EC3CFC"/>
    <w:rsid w:val="00EC3E9C"/>
    <w:rsid w:val="00EC464A"/>
    <w:rsid w:val="00EC46AF"/>
    <w:rsid w:val="00EC4C70"/>
    <w:rsid w:val="00EC5452"/>
    <w:rsid w:val="00EC56FC"/>
    <w:rsid w:val="00EC597A"/>
    <w:rsid w:val="00EC5CED"/>
    <w:rsid w:val="00EC6C56"/>
    <w:rsid w:val="00EC7342"/>
    <w:rsid w:val="00EC7CAC"/>
    <w:rsid w:val="00ED05DC"/>
    <w:rsid w:val="00ED08FE"/>
    <w:rsid w:val="00ED0A7B"/>
    <w:rsid w:val="00ED0D3B"/>
    <w:rsid w:val="00ED0EC3"/>
    <w:rsid w:val="00ED0F25"/>
    <w:rsid w:val="00ED1010"/>
    <w:rsid w:val="00ED10FA"/>
    <w:rsid w:val="00ED1186"/>
    <w:rsid w:val="00ED1311"/>
    <w:rsid w:val="00ED18B4"/>
    <w:rsid w:val="00ED1B01"/>
    <w:rsid w:val="00ED1BB2"/>
    <w:rsid w:val="00ED1BB5"/>
    <w:rsid w:val="00ED1FE8"/>
    <w:rsid w:val="00ED2425"/>
    <w:rsid w:val="00ED2927"/>
    <w:rsid w:val="00ED2D4E"/>
    <w:rsid w:val="00ED346B"/>
    <w:rsid w:val="00ED36AA"/>
    <w:rsid w:val="00ED42FF"/>
    <w:rsid w:val="00ED441C"/>
    <w:rsid w:val="00ED4945"/>
    <w:rsid w:val="00ED4A44"/>
    <w:rsid w:val="00ED50D6"/>
    <w:rsid w:val="00ED51A8"/>
    <w:rsid w:val="00ED5632"/>
    <w:rsid w:val="00ED58A9"/>
    <w:rsid w:val="00ED6284"/>
    <w:rsid w:val="00ED67F3"/>
    <w:rsid w:val="00ED6900"/>
    <w:rsid w:val="00ED6B02"/>
    <w:rsid w:val="00ED6CF7"/>
    <w:rsid w:val="00ED6D92"/>
    <w:rsid w:val="00EE01E2"/>
    <w:rsid w:val="00EE02DE"/>
    <w:rsid w:val="00EE05A7"/>
    <w:rsid w:val="00EE0652"/>
    <w:rsid w:val="00EE0FC5"/>
    <w:rsid w:val="00EE11E0"/>
    <w:rsid w:val="00EE1259"/>
    <w:rsid w:val="00EE1380"/>
    <w:rsid w:val="00EE16C5"/>
    <w:rsid w:val="00EE1D7B"/>
    <w:rsid w:val="00EE24D5"/>
    <w:rsid w:val="00EE251A"/>
    <w:rsid w:val="00EE270C"/>
    <w:rsid w:val="00EE28CE"/>
    <w:rsid w:val="00EE28F1"/>
    <w:rsid w:val="00EE29C0"/>
    <w:rsid w:val="00EE2A96"/>
    <w:rsid w:val="00EE2BFE"/>
    <w:rsid w:val="00EE2F92"/>
    <w:rsid w:val="00EE3063"/>
    <w:rsid w:val="00EE3D0C"/>
    <w:rsid w:val="00EE3DDC"/>
    <w:rsid w:val="00EE3EAB"/>
    <w:rsid w:val="00EE47A8"/>
    <w:rsid w:val="00EE498B"/>
    <w:rsid w:val="00EE59BA"/>
    <w:rsid w:val="00EE5A69"/>
    <w:rsid w:val="00EE5B69"/>
    <w:rsid w:val="00EE5D53"/>
    <w:rsid w:val="00EE624E"/>
    <w:rsid w:val="00EE6633"/>
    <w:rsid w:val="00EE70D2"/>
    <w:rsid w:val="00EE7177"/>
    <w:rsid w:val="00EE7207"/>
    <w:rsid w:val="00EE738C"/>
    <w:rsid w:val="00EE7B44"/>
    <w:rsid w:val="00EF0028"/>
    <w:rsid w:val="00EF0038"/>
    <w:rsid w:val="00EF0186"/>
    <w:rsid w:val="00EF05D1"/>
    <w:rsid w:val="00EF08A5"/>
    <w:rsid w:val="00EF0BD4"/>
    <w:rsid w:val="00EF12C4"/>
    <w:rsid w:val="00EF1381"/>
    <w:rsid w:val="00EF154B"/>
    <w:rsid w:val="00EF15BF"/>
    <w:rsid w:val="00EF1D43"/>
    <w:rsid w:val="00EF1D5E"/>
    <w:rsid w:val="00EF20B6"/>
    <w:rsid w:val="00EF2A70"/>
    <w:rsid w:val="00EF2F14"/>
    <w:rsid w:val="00EF2F1C"/>
    <w:rsid w:val="00EF3265"/>
    <w:rsid w:val="00EF392D"/>
    <w:rsid w:val="00EF39AF"/>
    <w:rsid w:val="00EF3AEA"/>
    <w:rsid w:val="00EF4188"/>
    <w:rsid w:val="00EF4376"/>
    <w:rsid w:val="00EF4C7C"/>
    <w:rsid w:val="00EF4CAA"/>
    <w:rsid w:val="00EF57D9"/>
    <w:rsid w:val="00EF5CFB"/>
    <w:rsid w:val="00EF60E5"/>
    <w:rsid w:val="00EF6445"/>
    <w:rsid w:val="00EF65CF"/>
    <w:rsid w:val="00EF7330"/>
    <w:rsid w:val="00EF736E"/>
    <w:rsid w:val="00F0014E"/>
    <w:rsid w:val="00F001B6"/>
    <w:rsid w:val="00F0052C"/>
    <w:rsid w:val="00F008F0"/>
    <w:rsid w:val="00F00A97"/>
    <w:rsid w:val="00F00CF0"/>
    <w:rsid w:val="00F00D6C"/>
    <w:rsid w:val="00F01184"/>
    <w:rsid w:val="00F0127B"/>
    <w:rsid w:val="00F013A4"/>
    <w:rsid w:val="00F0146D"/>
    <w:rsid w:val="00F01B7D"/>
    <w:rsid w:val="00F01CC4"/>
    <w:rsid w:val="00F01E05"/>
    <w:rsid w:val="00F01ECF"/>
    <w:rsid w:val="00F01EF0"/>
    <w:rsid w:val="00F02971"/>
    <w:rsid w:val="00F03AA5"/>
    <w:rsid w:val="00F03D92"/>
    <w:rsid w:val="00F03D9F"/>
    <w:rsid w:val="00F04BE8"/>
    <w:rsid w:val="00F054EA"/>
    <w:rsid w:val="00F05AA3"/>
    <w:rsid w:val="00F05BE7"/>
    <w:rsid w:val="00F05D77"/>
    <w:rsid w:val="00F05D79"/>
    <w:rsid w:val="00F06A85"/>
    <w:rsid w:val="00F07125"/>
    <w:rsid w:val="00F076FA"/>
    <w:rsid w:val="00F07FEA"/>
    <w:rsid w:val="00F102CB"/>
    <w:rsid w:val="00F10A31"/>
    <w:rsid w:val="00F10C11"/>
    <w:rsid w:val="00F10DDE"/>
    <w:rsid w:val="00F11362"/>
    <w:rsid w:val="00F1191E"/>
    <w:rsid w:val="00F11DAB"/>
    <w:rsid w:val="00F11FEA"/>
    <w:rsid w:val="00F1205D"/>
    <w:rsid w:val="00F123A6"/>
    <w:rsid w:val="00F128A1"/>
    <w:rsid w:val="00F12BD5"/>
    <w:rsid w:val="00F12E14"/>
    <w:rsid w:val="00F13D3A"/>
    <w:rsid w:val="00F14DDF"/>
    <w:rsid w:val="00F14E99"/>
    <w:rsid w:val="00F1589A"/>
    <w:rsid w:val="00F15E03"/>
    <w:rsid w:val="00F1655B"/>
    <w:rsid w:val="00F16761"/>
    <w:rsid w:val="00F16939"/>
    <w:rsid w:val="00F178B2"/>
    <w:rsid w:val="00F1793A"/>
    <w:rsid w:val="00F200AB"/>
    <w:rsid w:val="00F20238"/>
    <w:rsid w:val="00F2098C"/>
    <w:rsid w:val="00F20A9B"/>
    <w:rsid w:val="00F21326"/>
    <w:rsid w:val="00F21513"/>
    <w:rsid w:val="00F21717"/>
    <w:rsid w:val="00F21A94"/>
    <w:rsid w:val="00F21AAD"/>
    <w:rsid w:val="00F21F91"/>
    <w:rsid w:val="00F22189"/>
    <w:rsid w:val="00F22439"/>
    <w:rsid w:val="00F225E8"/>
    <w:rsid w:val="00F22ACA"/>
    <w:rsid w:val="00F22D4D"/>
    <w:rsid w:val="00F230CA"/>
    <w:rsid w:val="00F233E4"/>
    <w:rsid w:val="00F23E66"/>
    <w:rsid w:val="00F25001"/>
    <w:rsid w:val="00F250DF"/>
    <w:rsid w:val="00F2513F"/>
    <w:rsid w:val="00F26827"/>
    <w:rsid w:val="00F26A81"/>
    <w:rsid w:val="00F26B7E"/>
    <w:rsid w:val="00F27247"/>
    <w:rsid w:val="00F2726C"/>
    <w:rsid w:val="00F2739B"/>
    <w:rsid w:val="00F27583"/>
    <w:rsid w:val="00F27630"/>
    <w:rsid w:val="00F278D3"/>
    <w:rsid w:val="00F27986"/>
    <w:rsid w:val="00F27BB6"/>
    <w:rsid w:val="00F27D25"/>
    <w:rsid w:val="00F27D5A"/>
    <w:rsid w:val="00F27E4A"/>
    <w:rsid w:val="00F27F7C"/>
    <w:rsid w:val="00F30933"/>
    <w:rsid w:val="00F315DA"/>
    <w:rsid w:val="00F32835"/>
    <w:rsid w:val="00F32871"/>
    <w:rsid w:val="00F32D05"/>
    <w:rsid w:val="00F32D5A"/>
    <w:rsid w:val="00F331F8"/>
    <w:rsid w:val="00F33651"/>
    <w:rsid w:val="00F33736"/>
    <w:rsid w:val="00F339F8"/>
    <w:rsid w:val="00F33A9E"/>
    <w:rsid w:val="00F33B50"/>
    <w:rsid w:val="00F3407C"/>
    <w:rsid w:val="00F3486E"/>
    <w:rsid w:val="00F3497E"/>
    <w:rsid w:val="00F349E6"/>
    <w:rsid w:val="00F34EEA"/>
    <w:rsid w:val="00F3501C"/>
    <w:rsid w:val="00F3506F"/>
    <w:rsid w:val="00F350DE"/>
    <w:rsid w:val="00F35618"/>
    <w:rsid w:val="00F357EA"/>
    <w:rsid w:val="00F35AA8"/>
    <w:rsid w:val="00F35BB5"/>
    <w:rsid w:val="00F36152"/>
    <w:rsid w:val="00F36530"/>
    <w:rsid w:val="00F36870"/>
    <w:rsid w:val="00F3724A"/>
    <w:rsid w:val="00F375C3"/>
    <w:rsid w:val="00F37900"/>
    <w:rsid w:val="00F37B96"/>
    <w:rsid w:val="00F40364"/>
    <w:rsid w:val="00F40512"/>
    <w:rsid w:val="00F4053C"/>
    <w:rsid w:val="00F40678"/>
    <w:rsid w:val="00F40A2D"/>
    <w:rsid w:val="00F40E7C"/>
    <w:rsid w:val="00F40ECA"/>
    <w:rsid w:val="00F410FC"/>
    <w:rsid w:val="00F4136E"/>
    <w:rsid w:val="00F414BC"/>
    <w:rsid w:val="00F420DD"/>
    <w:rsid w:val="00F421C4"/>
    <w:rsid w:val="00F42845"/>
    <w:rsid w:val="00F4295F"/>
    <w:rsid w:val="00F430A5"/>
    <w:rsid w:val="00F4354D"/>
    <w:rsid w:val="00F43595"/>
    <w:rsid w:val="00F437E4"/>
    <w:rsid w:val="00F4387B"/>
    <w:rsid w:val="00F43A49"/>
    <w:rsid w:val="00F43DB2"/>
    <w:rsid w:val="00F44406"/>
    <w:rsid w:val="00F44947"/>
    <w:rsid w:val="00F44E50"/>
    <w:rsid w:val="00F44E9D"/>
    <w:rsid w:val="00F4500A"/>
    <w:rsid w:val="00F45252"/>
    <w:rsid w:val="00F452D3"/>
    <w:rsid w:val="00F454D8"/>
    <w:rsid w:val="00F458E0"/>
    <w:rsid w:val="00F4591B"/>
    <w:rsid w:val="00F45BB5"/>
    <w:rsid w:val="00F45C3B"/>
    <w:rsid w:val="00F45F12"/>
    <w:rsid w:val="00F45FD5"/>
    <w:rsid w:val="00F46201"/>
    <w:rsid w:val="00F464E4"/>
    <w:rsid w:val="00F46A77"/>
    <w:rsid w:val="00F46C0A"/>
    <w:rsid w:val="00F46CD2"/>
    <w:rsid w:val="00F46D53"/>
    <w:rsid w:val="00F46F0F"/>
    <w:rsid w:val="00F47999"/>
    <w:rsid w:val="00F47BEE"/>
    <w:rsid w:val="00F5014A"/>
    <w:rsid w:val="00F507E1"/>
    <w:rsid w:val="00F50EA2"/>
    <w:rsid w:val="00F50EFA"/>
    <w:rsid w:val="00F510CE"/>
    <w:rsid w:val="00F515C8"/>
    <w:rsid w:val="00F51B0A"/>
    <w:rsid w:val="00F51C63"/>
    <w:rsid w:val="00F51E6B"/>
    <w:rsid w:val="00F51F47"/>
    <w:rsid w:val="00F51FA1"/>
    <w:rsid w:val="00F52E2E"/>
    <w:rsid w:val="00F52FE7"/>
    <w:rsid w:val="00F531BD"/>
    <w:rsid w:val="00F535E2"/>
    <w:rsid w:val="00F53DF8"/>
    <w:rsid w:val="00F53F72"/>
    <w:rsid w:val="00F53FE7"/>
    <w:rsid w:val="00F543A4"/>
    <w:rsid w:val="00F5456F"/>
    <w:rsid w:val="00F548AE"/>
    <w:rsid w:val="00F54DC8"/>
    <w:rsid w:val="00F54DE7"/>
    <w:rsid w:val="00F55522"/>
    <w:rsid w:val="00F555C9"/>
    <w:rsid w:val="00F557BA"/>
    <w:rsid w:val="00F55C8C"/>
    <w:rsid w:val="00F56D1B"/>
    <w:rsid w:val="00F57574"/>
    <w:rsid w:val="00F5799C"/>
    <w:rsid w:val="00F57BBD"/>
    <w:rsid w:val="00F60183"/>
    <w:rsid w:val="00F603FC"/>
    <w:rsid w:val="00F60890"/>
    <w:rsid w:val="00F609C6"/>
    <w:rsid w:val="00F60EA6"/>
    <w:rsid w:val="00F61048"/>
    <w:rsid w:val="00F61A8E"/>
    <w:rsid w:val="00F6203D"/>
    <w:rsid w:val="00F62792"/>
    <w:rsid w:val="00F6284F"/>
    <w:rsid w:val="00F62981"/>
    <w:rsid w:val="00F637E9"/>
    <w:rsid w:val="00F6403D"/>
    <w:rsid w:val="00F6421D"/>
    <w:rsid w:val="00F64654"/>
    <w:rsid w:val="00F64F10"/>
    <w:rsid w:val="00F651F2"/>
    <w:rsid w:val="00F65AAD"/>
    <w:rsid w:val="00F65B81"/>
    <w:rsid w:val="00F65DB3"/>
    <w:rsid w:val="00F65F6B"/>
    <w:rsid w:val="00F66470"/>
    <w:rsid w:val="00F66E43"/>
    <w:rsid w:val="00F672A6"/>
    <w:rsid w:val="00F6732F"/>
    <w:rsid w:val="00F673BB"/>
    <w:rsid w:val="00F673F9"/>
    <w:rsid w:val="00F67682"/>
    <w:rsid w:val="00F6778C"/>
    <w:rsid w:val="00F67A15"/>
    <w:rsid w:val="00F67A1B"/>
    <w:rsid w:val="00F67C37"/>
    <w:rsid w:val="00F67FE4"/>
    <w:rsid w:val="00F70468"/>
    <w:rsid w:val="00F711F6"/>
    <w:rsid w:val="00F71748"/>
    <w:rsid w:val="00F7182D"/>
    <w:rsid w:val="00F72495"/>
    <w:rsid w:val="00F726C3"/>
    <w:rsid w:val="00F728C7"/>
    <w:rsid w:val="00F728F0"/>
    <w:rsid w:val="00F72AD5"/>
    <w:rsid w:val="00F7336C"/>
    <w:rsid w:val="00F733D2"/>
    <w:rsid w:val="00F73899"/>
    <w:rsid w:val="00F738A7"/>
    <w:rsid w:val="00F73FDC"/>
    <w:rsid w:val="00F74528"/>
    <w:rsid w:val="00F7469D"/>
    <w:rsid w:val="00F74CA5"/>
    <w:rsid w:val="00F75994"/>
    <w:rsid w:val="00F75A7D"/>
    <w:rsid w:val="00F762C2"/>
    <w:rsid w:val="00F7651B"/>
    <w:rsid w:val="00F76571"/>
    <w:rsid w:val="00F76C96"/>
    <w:rsid w:val="00F76DBD"/>
    <w:rsid w:val="00F772BE"/>
    <w:rsid w:val="00F77574"/>
    <w:rsid w:val="00F77D02"/>
    <w:rsid w:val="00F77EA5"/>
    <w:rsid w:val="00F80187"/>
    <w:rsid w:val="00F801FE"/>
    <w:rsid w:val="00F80A8A"/>
    <w:rsid w:val="00F80B86"/>
    <w:rsid w:val="00F80D4F"/>
    <w:rsid w:val="00F8137B"/>
    <w:rsid w:val="00F81911"/>
    <w:rsid w:val="00F81FA5"/>
    <w:rsid w:val="00F82BEA"/>
    <w:rsid w:val="00F82C01"/>
    <w:rsid w:val="00F82CF2"/>
    <w:rsid w:val="00F830C3"/>
    <w:rsid w:val="00F8314A"/>
    <w:rsid w:val="00F83183"/>
    <w:rsid w:val="00F83262"/>
    <w:rsid w:val="00F83492"/>
    <w:rsid w:val="00F83597"/>
    <w:rsid w:val="00F8406A"/>
    <w:rsid w:val="00F84301"/>
    <w:rsid w:val="00F84371"/>
    <w:rsid w:val="00F844EF"/>
    <w:rsid w:val="00F845B3"/>
    <w:rsid w:val="00F84771"/>
    <w:rsid w:val="00F84C23"/>
    <w:rsid w:val="00F854B6"/>
    <w:rsid w:val="00F85B5D"/>
    <w:rsid w:val="00F85CF1"/>
    <w:rsid w:val="00F865A6"/>
    <w:rsid w:val="00F86846"/>
    <w:rsid w:val="00F86A3C"/>
    <w:rsid w:val="00F86B3C"/>
    <w:rsid w:val="00F87444"/>
    <w:rsid w:val="00F876D2"/>
    <w:rsid w:val="00F8793A"/>
    <w:rsid w:val="00F87E49"/>
    <w:rsid w:val="00F87FC0"/>
    <w:rsid w:val="00F90528"/>
    <w:rsid w:val="00F907D9"/>
    <w:rsid w:val="00F9088D"/>
    <w:rsid w:val="00F90986"/>
    <w:rsid w:val="00F90B4E"/>
    <w:rsid w:val="00F911F4"/>
    <w:rsid w:val="00F91245"/>
    <w:rsid w:val="00F91583"/>
    <w:rsid w:val="00F9173C"/>
    <w:rsid w:val="00F91FDD"/>
    <w:rsid w:val="00F92359"/>
    <w:rsid w:val="00F927B0"/>
    <w:rsid w:val="00F92A81"/>
    <w:rsid w:val="00F92DE8"/>
    <w:rsid w:val="00F93BA2"/>
    <w:rsid w:val="00F93BAA"/>
    <w:rsid w:val="00F93DA7"/>
    <w:rsid w:val="00F9442D"/>
    <w:rsid w:val="00F94527"/>
    <w:rsid w:val="00F95223"/>
    <w:rsid w:val="00F95501"/>
    <w:rsid w:val="00F95507"/>
    <w:rsid w:val="00F958F6"/>
    <w:rsid w:val="00F960BF"/>
    <w:rsid w:val="00F9637A"/>
    <w:rsid w:val="00F96B0F"/>
    <w:rsid w:val="00F96B3E"/>
    <w:rsid w:val="00F96E3F"/>
    <w:rsid w:val="00F97064"/>
    <w:rsid w:val="00FA02FF"/>
    <w:rsid w:val="00FA0323"/>
    <w:rsid w:val="00FA038D"/>
    <w:rsid w:val="00FA0670"/>
    <w:rsid w:val="00FA067A"/>
    <w:rsid w:val="00FA07E6"/>
    <w:rsid w:val="00FA0BB3"/>
    <w:rsid w:val="00FA0BEE"/>
    <w:rsid w:val="00FA0FDD"/>
    <w:rsid w:val="00FA1612"/>
    <w:rsid w:val="00FA1804"/>
    <w:rsid w:val="00FA1BDA"/>
    <w:rsid w:val="00FA1F72"/>
    <w:rsid w:val="00FA2509"/>
    <w:rsid w:val="00FA25C4"/>
    <w:rsid w:val="00FA26CE"/>
    <w:rsid w:val="00FA3602"/>
    <w:rsid w:val="00FA39E4"/>
    <w:rsid w:val="00FA39F9"/>
    <w:rsid w:val="00FA3B38"/>
    <w:rsid w:val="00FA3BDA"/>
    <w:rsid w:val="00FA3D94"/>
    <w:rsid w:val="00FA4CEA"/>
    <w:rsid w:val="00FA545B"/>
    <w:rsid w:val="00FA582E"/>
    <w:rsid w:val="00FA59CC"/>
    <w:rsid w:val="00FA5A2D"/>
    <w:rsid w:val="00FA5E67"/>
    <w:rsid w:val="00FA5FD6"/>
    <w:rsid w:val="00FA6413"/>
    <w:rsid w:val="00FA6861"/>
    <w:rsid w:val="00FA6BA3"/>
    <w:rsid w:val="00FA6BFF"/>
    <w:rsid w:val="00FA6D5C"/>
    <w:rsid w:val="00FA7079"/>
    <w:rsid w:val="00FA71B7"/>
    <w:rsid w:val="00FA7257"/>
    <w:rsid w:val="00FA734A"/>
    <w:rsid w:val="00FA7886"/>
    <w:rsid w:val="00FA791B"/>
    <w:rsid w:val="00FA7AF4"/>
    <w:rsid w:val="00FA7E30"/>
    <w:rsid w:val="00FA7FE1"/>
    <w:rsid w:val="00FB00C3"/>
    <w:rsid w:val="00FB030A"/>
    <w:rsid w:val="00FB07DC"/>
    <w:rsid w:val="00FB0819"/>
    <w:rsid w:val="00FB0D37"/>
    <w:rsid w:val="00FB0ED0"/>
    <w:rsid w:val="00FB1203"/>
    <w:rsid w:val="00FB198F"/>
    <w:rsid w:val="00FB1E2D"/>
    <w:rsid w:val="00FB21E6"/>
    <w:rsid w:val="00FB2BCB"/>
    <w:rsid w:val="00FB3CCC"/>
    <w:rsid w:val="00FB41FE"/>
    <w:rsid w:val="00FB462B"/>
    <w:rsid w:val="00FB4761"/>
    <w:rsid w:val="00FB49C1"/>
    <w:rsid w:val="00FB4E8E"/>
    <w:rsid w:val="00FB524B"/>
    <w:rsid w:val="00FB531D"/>
    <w:rsid w:val="00FB55EF"/>
    <w:rsid w:val="00FB5604"/>
    <w:rsid w:val="00FB565E"/>
    <w:rsid w:val="00FB5C5B"/>
    <w:rsid w:val="00FB625C"/>
    <w:rsid w:val="00FB6353"/>
    <w:rsid w:val="00FB63C5"/>
    <w:rsid w:val="00FB63E4"/>
    <w:rsid w:val="00FB6AD6"/>
    <w:rsid w:val="00FB772D"/>
    <w:rsid w:val="00FB7BCF"/>
    <w:rsid w:val="00FC00D0"/>
    <w:rsid w:val="00FC0695"/>
    <w:rsid w:val="00FC07A5"/>
    <w:rsid w:val="00FC08A0"/>
    <w:rsid w:val="00FC0D88"/>
    <w:rsid w:val="00FC15CF"/>
    <w:rsid w:val="00FC1D1A"/>
    <w:rsid w:val="00FC1F9E"/>
    <w:rsid w:val="00FC253C"/>
    <w:rsid w:val="00FC2A16"/>
    <w:rsid w:val="00FC30B2"/>
    <w:rsid w:val="00FC3332"/>
    <w:rsid w:val="00FC33C7"/>
    <w:rsid w:val="00FC3485"/>
    <w:rsid w:val="00FC37B8"/>
    <w:rsid w:val="00FC3E59"/>
    <w:rsid w:val="00FC4879"/>
    <w:rsid w:val="00FC4CE9"/>
    <w:rsid w:val="00FC4F17"/>
    <w:rsid w:val="00FC5078"/>
    <w:rsid w:val="00FC5174"/>
    <w:rsid w:val="00FC518B"/>
    <w:rsid w:val="00FC562E"/>
    <w:rsid w:val="00FC56FF"/>
    <w:rsid w:val="00FC5993"/>
    <w:rsid w:val="00FC5DE7"/>
    <w:rsid w:val="00FC5E69"/>
    <w:rsid w:val="00FC5FF6"/>
    <w:rsid w:val="00FC609B"/>
    <w:rsid w:val="00FC6229"/>
    <w:rsid w:val="00FC6473"/>
    <w:rsid w:val="00FC696E"/>
    <w:rsid w:val="00FC6CA2"/>
    <w:rsid w:val="00FC6ED5"/>
    <w:rsid w:val="00FC70CF"/>
    <w:rsid w:val="00FC73B4"/>
    <w:rsid w:val="00FC766D"/>
    <w:rsid w:val="00FC7AAE"/>
    <w:rsid w:val="00FC7CDF"/>
    <w:rsid w:val="00FC7F2F"/>
    <w:rsid w:val="00FC7F97"/>
    <w:rsid w:val="00FD0191"/>
    <w:rsid w:val="00FD0BD3"/>
    <w:rsid w:val="00FD0CE0"/>
    <w:rsid w:val="00FD0D46"/>
    <w:rsid w:val="00FD0E7D"/>
    <w:rsid w:val="00FD16F0"/>
    <w:rsid w:val="00FD1EF4"/>
    <w:rsid w:val="00FD1F3A"/>
    <w:rsid w:val="00FD21C2"/>
    <w:rsid w:val="00FD240D"/>
    <w:rsid w:val="00FD2456"/>
    <w:rsid w:val="00FD254A"/>
    <w:rsid w:val="00FD2793"/>
    <w:rsid w:val="00FD3229"/>
    <w:rsid w:val="00FD3DEA"/>
    <w:rsid w:val="00FD40CB"/>
    <w:rsid w:val="00FD5276"/>
    <w:rsid w:val="00FD5526"/>
    <w:rsid w:val="00FD57C4"/>
    <w:rsid w:val="00FD58A8"/>
    <w:rsid w:val="00FD5AB8"/>
    <w:rsid w:val="00FD5B44"/>
    <w:rsid w:val="00FD5B84"/>
    <w:rsid w:val="00FD61F8"/>
    <w:rsid w:val="00FD6669"/>
    <w:rsid w:val="00FD68B1"/>
    <w:rsid w:val="00FD695F"/>
    <w:rsid w:val="00FD7020"/>
    <w:rsid w:val="00FD7273"/>
    <w:rsid w:val="00FD73A6"/>
    <w:rsid w:val="00FD7505"/>
    <w:rsid w:val="00FD7ED8"/>
    <w:rsid w:val="00FE091C"/>
    <w:rsid w:val="00FE0CB6"/>
    <w:rsid w:val="00FE0F43"/>
    <w:rsid w:val="00FE1471"/>
    <w:rsid w:val="00FE21CC"/>
    <w:rsid w:val="00FE2364"/>
    <w:rsid w:val="00FE24E5"/>
    <w:rsid w:val="00FE2D16"/>
    <w:rsid w:val="00FE2DA9"/>
    <w:rsid w:val="00FE3297"/>
    <w:rsid w:val="00FE3C98"/>
    <w:rsid w:val="00FE435D"/>
    <w:rsid w:val="00FE4A15"/>
    <w:rsid w:val="00FE51B7"/>
    <w:rsid w:val="00FE51FA"/>
    <w:rsid w:val="00FE54FB"/>
    <w:rsid w:val="00FE5801"/>
    <w:rsid w:val="00FE6040"/>
    <w:rsid w:val="00FE6950"/>
    <w:rsid w:val="00FE6D2C"/>
    <w:rsid w:val="00FE7592"/>
    <w:rsid w:val="00FE7B1F"/>
    <w:rsid w:val="00FE7D62"/>
    <w:rsid w:val="00FE7E26"/>
    <w:rsid w:val="00FF07D0"/>
    <w:rsid w:val="00FF0A57"/>
    <w:rsid w:val="00FF0FD9"/>
    <w:rsid w:val="00FF10EF"/>
    <w:rsid w:val="00FF12B8"/>
    <w:rsid w:val="00FF1422"/>
    <w:rsid w:val="00FF1746"/>
    <w:rsid w:val="00FF179C"/>
    <w:rsid w:val="00FF1CE4"/>
    <w:rsid w:val="00FF1F67"/>
    <w:rsid w:val="00FF2211"/>
    <w:rsid w:val="00FF253D"/>
    <w:rsid w:val="00FF29C6"/>
    <w:rsid w:val="00FF2DDC"/>
    <w:rsid w:val="00FF2EE3"/>
    <w:rsid w:val="00FF2F6F"/>
    <w:rsid w:val="00FF2F8C"/>
    <w:rsid w:val="00FF2F99"/>
    <w:rsid w:val="00FF33AD"/>
    <w:rsid w:val="00FF33DD"/>
    <w:rsid w:val="00FF34B3"/>
    <w:rsid w:val="00FF34C7"/>
    <w:rsid w:val="00FF3893"/>
    <w:rsid w:val="00FF395B"/>
    <w:rsid w:val="00FF3E9F"/>
    <w:rsid w:val="00FF49C7"/>
    <w:rsid w:val="00FF4A2F"/>
    <w:rsid w:val="00FF4B68"/>
    <w:rsid w:val="00FF4BBA"/>
    <w:rsid w:val="00FF574F"/>
    <w:rsid w:val="00FF58D0"/>
    <w:rsid w:val="00FF5EA6"/>
    <w:rsid w:val="00FF6069"/>
    <w:rsid w:val="00FF6416"/>
    <w:rsid w:val="00FF692F"/>
    <w:rsid w:val="00FF69E3"/>
    <w:rsid w:val="00FF6A5B"/>
    <w:rsid w:val="00FF7200"/>
    <w:rsid w:val="00FF73A2"/>
    <w:rsid w:val="00FF784E"/>
    <w:rsid w:val="00FF7ED6"/>
    <w:rsid w:val="0C5D5442"/>
    <w:rsid w:val="13134031"/>
    <w:rsid w:val="1317C569"/>
    <w:rsid w:val="30CBA715"/>
    <w:rsid w:val="55AE3D4D"/>
    <w:rsid w:val="646B952D"/>
    <w:rsid w:val="6C972037"/>
    <w:rsid w:val="71801A2B"/>
    <w:rsid w:val="7FEBD40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9059D"/>
  <w15:docId w15:val="{F9ACEA0E-F366-4D44-8131-C96E4457B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6A8C"/>
    <w:pPr>
      <w:spacing w:line="300" w:lineRule="atLeast"/>
    </w:pPr>
    <w:rPr>
      <w:rFonts w:asciiTheme="minorHAnsi" w:hAnsiTheme="minorHAnsi"/>
      <w:color w:val="0D003F" w:themeColor="text1"/>
      <w:sz w:val="17"/>
      <w:lang w:val="en-US"/>
    </w:rPr>
  </w:style>
  <w:style w:type="paragraph" w:styleId="Heading1">
    <w:name w:val="heading 1"/>
    <w:aliases w:val="Viewpoint title"/>
    <w:basedOn w:val="Normal"/>
    <w:next w:val="Normal"/>
    <w:qFormat/>
    <w:rsid w:val="00AA5A02"/>
    <w:pPr>
      <w:keepNext/>
      <w:spacing w:after="600"/>
      <w:outlineLvl w:val="0"/>
    </w:pPr>
    <w:rPr>
      <w:rFonts w:eastAsiaTheme="minorEastAsia"/>
      <w:b/>
      <w:caps/>
      <w:sz w:val="36"/>
      <w:szCs w:val="36"/>
    </w:rPr>
  </w:style>
  <w:style w:type="paragraph" w:styleId="Heading2">
    <w:name w:val="heading 2"/>
    <w:aliases w:val="A First heading level for section"/>
    <w:basedOn w:val="Normal"/>
    <w:next w:val="Normal"/>
    <w:link w:val="Heading2Char"/>
    <w:qFormat/>
    <w:rsid w:val="00275548"/>
    <w:pPr>
      <w:keepNext/>
      <w:spacing w:before="80" w:after="360"/>
      <w:outlineLvl w:val="1"/>
    </w:pPr>
    <w:rPr>
      <w:rFonts w:eastAsiaTheme="minorEastAsia"/>
      <w:b/>
      <w:caps/>
      <w:color w:val="E68723"/>
      <w:sz w:val="24"/>
    </w:rPr>
  </w:style>
  <w:style w:type="paragraph" w:styleId="Heading3">
    <w:name w:val="heading 3"/>
    <w:aliases w:val="B Second heading level for section"/>
    <w:basedOn w:val="Heading2"/>
    <w:next w:val="Normal"/>
    <w:link w:val="Heading3Char"/>
    <w:qFormat/>
    <w:rsid w:val="00AC1746"/>
    <w:pPr>
      <w:spacing w:after="240"/>
      <w:outlineLvl w:val="2"/>
    </w:pPr>
    <w:rPr>
      <w:iCs/>
      <w:caps w:val="0"/>
      <w:color w:val="0D003F" w:themeColor="text1"/>
      <w:sz w:val="17"/>
    </w:rPr>
  </w:style>
  <w:style w:type="paragraph" w:styleId="Heading4">
    <w:name w:val="heading 4"/>
    <w:aliases w:val="C Third heading level for section"/>
    <w:basedOn w:val="Normal"/>
    <w:next w:val="Normal"/>
    <w:qFormat/>
    <w:rsid w:val="00861169"/>
    <w:pPr>
      <w:keepNext/>
      <w:spacing w:before="40"/>
      <w:outlineLvl w:val="3"/>
    </w:pPr>
    <w:rPr>
      <w:rFonts w:eastAsiaTheme="minorEastAsia"/>
      <w:b/>
      <w:bCs/>
      <w:i/>
    </w:rPr>
  </w:style>
  <w:style w:type="paragraph" w:styleId="Heading5">
    <w:name w:val="heading 5"/>
    <w:aliases w:val="D Head"/>
    <w:basedOn w:val="Normal"/>
    <w:next w:val="Normal"/>
    <w:semiHidden/>
    <w:rsid w:val="009F5390"/>
    <w:pPr>
      <w:keepNext/>
      <w:ind w:left="851" w:hanging="851"/>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rsid w:val="00861169"/>
    <w:pPr>
      <w:numPr>
        <w:numId w:val="1"/>
      </w:numPr>
      <w:spacing w:before="60" w:line="300" w:lineRule="atLeast"/>
    </w:pPr>
    <w:rPr>
      <w:rFonts w:asciiTheme="minorHAnsi" w:eastAsiaTheme="minorEastAsia" w:hAnsiTheme="minorHAnsi"/>
      <w:noProof/>
      <w:color w:val="0D003F" w:themeColor="text1"/>
      <w:sz w:val="17"/>
      <w:szCs w:val="22"/>
      <w:lang w:val="en-US"/>
      <w14:numSpacing w14:val="proportional"/>
    </w:rPr>
  </w:style>
  <w:style w:type="paragraph" w:styleId="Caption">
    <w:name w:val="caption"/>
    <w:aliases w:val="Figure title"/>
    <w:basedOn w:val="Normal"/>
    <w:next w:val="Normal"/>
    <w:qFormat/>
    <w:rsid w:val="00602433"/>
    <w:pPr>
      <w:keepNext/>
      <w:spacing w:after="160" w:line="220" w:lineRule="atLeast"/>
    </w:pPr>
    <w:rPr>
      <w:b/>
      <w:iCs/>
    </w:rPr>
  </w:style>
  <w:style w:type="character" w:styleId="FootnoteReference">
    <w:name w:val="footnote reference"/>
    <w:basedOn w:val="DefaultParagraphFont"/>
    <w:rsid w:val="009F5390"/>
    <w:rPr>
      <w:vertAlign w:val="superscript"/>
      <w:lang w:val="en-US"/>
    </w:rPr>
  </w:style>
  <w:style w:type="paragraph" w:styleId="FootnoteText">
    <w:name w:val="footnote text"/>
    <w:basedOn w:val="Normal"/>
    <w:rsid w:val="007E284C"/>
    <w:pPr>
      <w:spacing w:after="160" w:line="220" w:lineRule="atLeast"/>
    </w:pPr>
    <w:rPr>
      <w:color w:val="6E668C" w:themeColor="text2"/>
      <w:sz w:val="13"/>
    </w:rPr>
  </w:style>
  <w:style w:type="character" w:styleId="PageNumber">
    <w:name w:val="page number"/>
    <w:basedOn w:val="DefaultParagraphFont"/>
    <w:rsid w:val="00BA2BD3"/>
    <w:rPr>
      <w:rFonts w:asciiTheme="minorHAnsi" w:hAnsiTheme="minorHAnsi"/>
      <w:b/>
      <w:color w:val="auto"/>
      <w:sz w:val="14"/>
      <w:lang w:val="en-US"/>
    </w:rPr>
  </w:style>
  <w:style w:type="paragraph" w:customStyle="1" w:styleId="Calloutquote">
    <w:name w:val="Callout/quote"/>
    <w:basedOn w:val="Normal"/>
    <w:qFormat/>
    <w:rsid w:val="00C633ED"/>
    <w:pPr>
      <w:spacing w:after="600"/>
    </w:pPr>
    <w:rPr>
      <w:caps/>
      <w:sz w:val="24"/>
    </w:rPr>
  </w:style>
  <w:style w:type="paragraph" w:styleId="TOC1">
    <w:name w:val="toc 1"/>
    <w:basedOn w:val="Heading2"/>
    <w:next w:val="Normal"/>
    <w:autoRedefine/>
    <w:uiPriority w:val="39"/>
    <w:rsid w:val="009F5390"/>
    <w:pPr>
      <w:tabs>
        <w:tab w:val="left" w:pos="1701"/>
        <w:tab w:val="right" w:pos="9923"/>
      </w:tabs>
      <w:spacing w:before="300" w:after="0"/>
    </w:pPr>
    <w:rPr>
      <w:color w:val="auto"/>
    </w:rPr>
  </w:style>
  <w:style w:type="paragraph" w:customStyle="1" w:styleId="Non-numberedheading">
    <w:name w:val="Non-numbered heading"/>
    <w:basedOn w:val="Heading1"/>
    <w:next w:val="Normal"/>
    <w:rsid w:val="009F5390"/>
    <w:pPr>
      <w:outlineLvl w:val="9"/>
    </w:pPr>
  </w:style>
  <w:style w:type="paragraph" w:customStyle="1" w:styleId="Bulletlevel2">
    <w:name w:val="Bullet level 2"/>
    <w:basedOn w:val="Bullet"/>
    <w:rsid w:val="00725890"/>
    <w:pPr>
      <w:numPr>
        <w:numId w:val="5"/>
      </w:numPr>
      <w:spacing w:before="0"/>
      <w:ind w:left="567" w:hanging="283"/>
      <w:contextualSpacing/>
    </w:pPr>
    <w:rPr>
      <w:szCs w:val="24"/>
    </w:rPr>
  </w:style>
  <w:style w:type="paragraph" w:customStyle="1" w:styleId="Bulletlevel3">
    <w:name w:val="Bullet level 3"/>
    <w:basedOn w:val="Bullet"/>
    <w:rsid w:val="00725890"/>
    <w:pPr>
      <w:numPr>
        <w:numId w:val="6"/>
      </w:numPr>
      <w:spacing w:before="0"/>
      <w:ind w:left="851" w:hanging="284"/>
      <w:contextualSpacing/>
    </w:pPr>
    <w:rPr>
      <w:szCs w:val="24"/>
    </w:rPr>
  </w:style>
  <w:style w:type="paragraph" w:styleId="Footer">
    <w:name w:val="footer"/>
    <w:aliases w:val="Reference number"/>
    <w:basedOn w:val="Normal"/>
    <w:rsid w:val="009F5390"/>
    <w:pPr>
      <w:jc w:val="right"/>
    </w:pPr>
    <w:rPr>
      <w:sz w:val="16"/>
    </w:rPr>
  </w:style>
  <w:style w:type="paragraph" w:customStyle="1" w:styleId="TableBullet">
    <w:name w:val="Table_Bullet"/>
    <w:basedOn w:val="Bullet"/>
    <w:rsid w:val="00736DFC"/>
    <w:pPr>
      <w:numPr>
        <w:numId w:val="3"/>
      </w:numPr>
      <w:spacing w:before="20" w:after="20" w:line="220" w:lineRule="atLeast"/>
      <w:ind w:left="284" w:hanging="284"/>
      <w:contextualSpacing/>
    </w:pPr>
    <w:rPr>
      <w:szCs w:val="18"/>
    </w:rPr>
  </w:style>
  <w:style w:type="table" w:styleId="TableGrid">
    <w:name w:val="Table Grid"/>
    <w:basedOn w:val="TableNormal"/>
    <w:rsid w:val="009F5390"/>
    <w:pPr>
      <w:spacing w:line="300" w:lineRule="atLeast"/>
    </w:pPr>
    <w:rPr>
      <w:rFonts w:ascii="Arial" w:hAnsi="Arial"/>
      <w:sz w:val="22"/>
    </w:rPr>
    <w:tblPr/>
  </w:style>
  <w:style w:type="paragraph" w:customStyle="1" w:styleId="NumberedList">
    <w:name w:val="Numbered_List"/>
    <w:basedOn w:val="Bullet"/>
    <w:rsid w:val="004150F3"/>
    <w:pPr>
      <w:numPr>
        <w:numId w:val="2"/>
      </w:numPr>
      <w:ind w:left="284" w:hanging="284"/>
      <w:contextualSpacing/>
    </w:pPr>
  </w:style>
  <w:style w:type="paragraph" w:customStyle="1" w:styleId="TableBulletLevel2">
    <w:name w:val="Table_Bullet Level 2"/>
    <w:basedOn w:val="TableBullet"/>
    <w:rsid w:val="00736DFC"/>
    <w:pPr>
      <w:numPr>
        <w:numId w:val="7"/>
      </w:numPr>
      <w:spacing w:before="0" w:after="0"/>
      <w:ind w:left="568" w:hanging="284"/>
    </w:pPr>
  </w:style>
  <w:style w:type="paragraph" w:styleId="BalloonText">
    <w:name w:val="Balloon Text"/>
    <w:basedOn w:val="Normal"/>
    <w:link w:val="BalloonTextChar"/>
    <w:semiHidden/>
    <w:rsid w:val="009F539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F5390"/>
    <w:rPr>
      <w:rFonts w:ascii="Tahoma" w:hAnsi="Tahoma" w:cs="Tahoma"/>
      <w:noProof/>
      <w:sz w:val="16"/>
      <w:szCs w:val="16"/>
      <w:lang w:val="en-US"/>
    </w:rPr>
  </w:style>
  <w:style w:type="character" w:styleId="Hyperlink">
    <w:name w:val="Hyperlink"/>
    <w:basedOn w:val="DefaultParagraphFont"/>
    <w:uiPriority w:val="99"/>
    <w:rsid w:val="009F5390"/>
    <w:rPr>
      <w:color w:val="1774F5" w:themeColor="accent1"/>
      <w:u w:val="single"/>
      <w:lang w:val="en-US"/>
    </w:rPr>
  </w:style>
  <w:style w:type="paragraph" w:customStyle="1" w:styleId="TableBulletLevel3">
    <w:name w:val="Table_Bullet Level 3"/>
    <w:basedOn w:val="TableBulletLevel2"/>
    <w:qFormat/>
    <w:rsid w:val="00736DFC"/>
    <w:pPr>
      <w:numPr>
        <w:numId w:val="8"/>
      </w:numPr>
    </w:pPr>
  </w:style>
  <w:style w:type="paragraph" w:styleId="Header">
    <w:name w:val="header"/>
    <w:basedOn w:val="Normal"/>
    <w:link w:val="HeaderChar"/>
    <w:unhideWhenUsed/>
    <w:rsid w:val="009F5390"/>
    <w:pPr>
      <w:spacing w:line="240" w:lineRule="auto"/>
      <w:jc w:val="right"/>
    </w:pPr>
  </w:style>
  <w:style w:type="character" w:customStyle="1" w:styleId="HeaderChar">
    <w:name w:val="Header Char"/>
    <w:basedOn w:val="DefaultParagraphFont"/>
    <w:link w:val="Header"/>
    <w:rsid w:val="009F5390"/>
    <w:rPr>
      <w:rFonts w:asciiTheme="minorHAnsi" w:hAnsiTheme="minorHAnsi"/>
      <w:noProof/>
      <w:sz w:val="22"/>
      <w:lang w:val="en-US"/>
    </w:rPr>
  </w:style>
  <w:style w:type="paragraph" w:styleId="TableofFigures">
    <w:name w:val="table of figures"/>
    <w:basedOn w:val="Normal"/>
    <w:next w:val="Normal"/>
    <w:uiPriority w:val="99"/>
    <w:unhideWhenUsed/>
    <w:rsid w:val="009F5390"/>
    <w:pPr>
      <w:tabs>
        <w:tab w:val="left" w:pos="993"/>
        <w:tab w:val="right" w:pos="9913"/>
      </w:tabs>
    </w:pPr>
    <w:rPr>
      <w:rFonts w:eastAsiaTheme="minorEastAsia" w:cstheme="minorBidi"/>
      <w:szCs w:val="22"/>
      <w:lang w:val="en-GB"/>
    </w:rPr>
  </w:style>
  <w:style w:type="paragraph" w:customStyle="1" w:styleId="Viewpointsubtitle">
    <w:name w:val="Viewpoint subtitle"/>
    <w:basedOn w:val="Heading2"/>
    <w:qFormat/>
    <w:rsid w:val="00E77C8A"/>
    <w:rPr>
      <w:caps w:val="0"/>
    </w:rPr>
  </w:style>
  <w:style w:type="table" w:customStyle="1" w:styleId="ADLTableStyle">
    <w:name w:val="ADL Table Style"/>
    <w:basedOn w:val="TableNormal"/>
    <w:uiPriority w:val="99"/>
    <w:rsid w:val="009F5390"/>
    <w:pPr>
      <w:spacing w:line="220" w:lineRule="exact"/>
    </w:pPr>
    <w:rPr>
      <w:rFonts w:ascii="Arial" w:hAnsi="Arial"/>
      <w:color w:val="0D003F" w:themeColor="text1"/>
      <w:sz w:val="18"/>
    </w:rPr>
    <w:tblPr>
      <w:tblCellMar>
        <w:left w:w="0" w:type="dxa"/>
        <w:right w:w="0" w:type="dxa"/>
      </w:tblCellMar>
    </w:tblPr>
    <w:tcPr>
      <w:vAlign w:val="center"/>
    </w:tcPr>
    <w:tblStylePr w:type="firstRow">
      <w:pPr>
        <w:jc w:val="left"/>
      </w:pPr>
      <w:rPr>
        <w:rFonts w:asciiTheme="minorHAnsi" w:hAnsiTheme="minorHAnsi"/>
        <w:sz w:val="18"/>
      </w:rPr>
      <w:tblPr/>
      <w:tcPr>
        <w:tcBorders>
          <w:top w:val="nil"/>
          <w:left w:val="nil"/>
          <w:bottom w:val="nil"/>
          <w:right w:val="nil"/>
          <w:insideH w:val="nil"/>
          <w:insideV w:val="nil"/>
          <w:tl2br w:val="nil"/>
          <w:tr2bl w:val="nil"/>
        </w:tcBorders>
        <w:shd w:val="clear" w:color="auto" w:fill="0D003F" w:themeFill="text1"/>
      </w:tcPr>
    </w:tblStylePr>
    <w:tblStylePr w:type="lastRow">
      <w:pPr>
        <w:wordWrap/>
        <w:snapToGrid/>
        <w:spacing w:beforeLines="0" w:before="20" w:beforeAutospacing="0" w:afterLines="0" w:after="20" w:afterAutospacing="0" w:line="220" w:lineRule="exact"/>
        <w:contextualSpacing w:val="0"/>
        <w:jc w:val="left"/>
      </w:pPr>
      <w:rPr>
        <w:rFonts w:asciiTheme="minorHAnsi" w:eastAsiaTheme="majorEastAsia" w:hAnsiTheme="minorHAnsi" w:cstheme="majorBidi"/>
        <w:b/>
        <w:i w:val="0"/>
        <w:caps w:val="0"/>
        <w:smallCaps w:val="0"/>
        <w:strike w:val="0"/>
        <w:dstrike w:val="0"/>
        <w:vanish w:val="0"/>
        <w:color w:val="FFFFFF" w:themeColor="background1"/>
        <w:sz w:val="20"/>
        <w:vertAlign w:val="baseline"/>
      </w:rPr>
      <w:tblPr/>
      <w:tcPr>
        <w:tcBorders>
          <w:top w:val="nil"/>
          <w:left w:val="nil"/>
          <w:bottom w:val="nil"/>
          <w:right w:val="nil"/>
          <w:insideH w:val="nil"/>
          <w:insideV w:val="nil"/>
          <w:tl2br w:val="nil"/>
          <w:tr2bl w:val="nil"/>
        </w:tcBorders>
        <w:shd w:val="clear" w:color="auto" w:fill="1774F5" w:themeFill="accent1"/>
      </w:tcPr>
    </w:tblStylePr>
    <w:tblStylePr w:type="firstCol">
      <w:rPr>
        <w:color w:val="auto"/>
      </w:rPr>
      <w:tblPr/>
      <w:tcPr>
        <w:shd w:val="clear" w:color="auto" w:fill="D1E0FB" w:themeFill="background2"/>
      </w:tcPr>
    </w:tblStylePr>
  </w:style>
  <w:style w:type="paragraph" w:customStyle="1" w:styleId="Figuresource">
    <w:name w:val="Figure source"/>
    <w:basedOn w:val="Normal"/>
    <w:next w:val="Normal"/>
    <w:rsid w:val="00861169"/>
    <w:pPr>
      <w:spacing w:before="40" w:after="240"/>
    </w:pPr>
    <w:rPr>
      <w:rFonts w:cs="Arial"/>
      <w:sz w:val="13"/>
    </w:rPr>
  </w:style>
  <w:style w:type="paragraph" w:customStyle="1" w:styleId="Tabletext">
    <w:name w:val="Table text"/>
    <w:basedOn w:val="Normal"/>
    <w:rsid w:val="00D040D5"/>
    <w:pPr>
      <w:spacing w:before="20" w:after="20" w:line="220" w:lineRule="atLeast"/>
    </w:pPr>
  </w:style>
  <w:style w:type="paragraph" w:customStyle="1" w:styleId="TableHeading">
    <w:name w:val="Table Heading"/>
    <w:basedOn w:val="Tabletext"/>
    <w:qFormat/>
    <w:rsid w:val="00D040D5"/>
    <w:pPr>
      <w:spacing w:before="40" w:after="40"/>
    </w:pPr>
    <w:rPr>
      <w:b/>
      <w:color w:val="FFFFFF" w:themeColor="background1"/>
    </w:rPr>
  </w:style>
  <w:style w:type="paragraph" w:customStyle="1" w:styleId="TableSummary">
    <w:name w:val="Table Summary"/>
    <w:basedOn w:val="Tabletext"/>
    <w:qFormat/>
    <w:rsid w:val="00D040D5"/>
    <w:pPr>
      <w:spacing w:before="40" w:after="40"/>
      <w:outlineLvl w:val="7"/>
    </w:pPr>
    <w:rPr>
      <w:b/>
      <w:color w:val="FFFFFF" w:themeColor="background1"/>
    </w:rPr>
  </w:style>
  <w:style w:type="paragraph" w:customStyle="1" w:styleId="TableNumberedlist">
    <w:name w:val="Table_Numbered_list"/>
    <w:basedOn w:val="NumberedList"/>
    <w:qFormat/>
    <w:rsid w:val="000D466F"/>
    <w:pPr>
      <w:numPr>
        <w:numId w:val="4"/>
      </w:numPr>
      <w:spacing w:before="20" w:after="20" w:line="220" w:lineRule="atLeast"/>
    </w:pPr>
  </w:style>
  <w:style w:type="character" w:styleId="PlaceholderText">
    <w:name w:val="Placeholder Text"/>
    <w:basedOn w:val="DefaultParagraphFont"/>
    <w:uiPriority w:val="99"/>
    <w:semiHidden/>
    <w:rsid w:val="00641378"/>
    <w:rPr>
      <w:color w:val="666666"/>
    </w:rPr>
  </w:style>
  <w:style w:type="character" w:styleId="UnresolvedMention">
    <w:name w:val="Unresolved Mention"/>
    <w:basedOn w:val="DefaultParagraphFont"/>
    <w:uiPriority w:val="99"/>
    <w:semiHidden/>
    <w:unhideWhenUsed/>
    <w:rsid w:val="00CE5C72"/>
    <w:rPr>
      <w:color w:val="605E5C"/>
      <w:shd w:val="clear" w:color="auto" w:fill="E1DFDD"/>
    </w:rPr>
  </w:style>
  <w:style w:type="paragraph" w:styleId="ListParagraph">
    <w:name w:val="List Paragraph"/>
    <w:basedOn w:val="Normal"/>
    <w:uiPriority w:val="34"/>
    <w:qFormat/>
    <w:rsid w:val="006B6D84"/>
    <w:pPr>
      <w:spacing w:after="200" w:line="240" w:lineRule="auto"/>
      <w:ind w:left="720"/>
      <w:contextualSpacing/>
    </w:pPr>
    <w:rPr>
      <w:rFonts w:eastAsiaTheme="minorHAnsi" w:cstheme="minorBidi"/>
      <w:color w:val="auto"/>
      <w:sz w:val="20"/>
      <w:lang w:val="sv-SE" w:eastAsia="en-US"/>
    </w:rPr>
  </w:style>
  <w:style w:type="character" w:styleId="CommentReference">
    <w:name w:val="annotation reference"/>
    <w:basedOn w:val="DefaultParagraphFont"/>
    <w:semiHidden/>
    <w:unhideWhenUsed/>
    <w:rsid w:val="00922944"/>
    <w:rPr>
      <w:sz w:val="16"/>
      <w:szCs w:val="16"/>
    </w:rPr>
  </w:style>
  <w:style w:type="paragraph" w:styleId="CommentText">
    <w:name w:val="annotation text"/>
    <w:basedOn w:val="Normal"/>
    <w:link w:val="CommentTextChar"/>
    <w:unhideWhenUsed/>
    <w:rsid w:val="00922944"/>
    <w:pPr>
      <w:spacing w:line="240" w:lineRule="auto"/>
    </w:pPr>
    <w:rPr>
      <w:sz w:val="20"/>
    </w:rPr>
  </w:style>
  <w:style w:type="character" w:customStyle="1" w:styleId="CommentTextChar">
    <w:name w:val="Comment Text Char"/>
    <w:basedOn w:val="DefaultParagraphFont"/>
    <w:link w:val="CommentText"/>
    <w:rsid w:val="00922944"/>
    <w:rPr>
      <w:rFonts w:asciiTheme="minorHAnsi" w:hAnsiTheme="minorHAnsi"/>
      <w:color w:val="0D003F" w:themeColor="text1"/>
      <w:lang w:val="en-US"/>
    </w:rPr>
  </w:style>
  <w:style w:type="paragraph" w:styleId="CommentSubject">
    <w:name w:val="annotation subject"/>
    <w:basedOn w:val="CommentText"/>
    <w:next w:val="CommentText"/>
    <w:link w:val="CommentSubjectChar"/>
    <w:semiHidden/>
    <w:unhideWhenUsed/>
    <w:rsid w:val="00922944"/>
    <w:rPr>
      <w:b/>
      <w:bCs/>
    </w:rPr>
  </w:style>
  <w:style w:type="character" w:customStyle="1" w:styleId="CommentSubjectChar">
    <w:name w:val="Comment Subject Char"/>
    <w:basedOn w:val="CommentTextChar"/>
    <w:link w:val="CommentSubject"/>
    <w:semiHidden/>
    <w:rsid w:val="00922944"/>
    <w:rPr>
      <w:rFonts w:asciiTheme="minorHAnsi" w:hAnsiTheme="minorHAnsi"/>
      <w:b/>
      <w:bCs/>
      <w:color w:val="0D003F" w:themeColor="text1"/>
      <w:lang w:val="en-US"/>
    </w:rPr>
  </w:style>
  <w:style w:type="paragraph" w:styleId="Revision">
    <w:name w:val="Revision"/>
    <w:hidden/>
    <w:uiPriority w:val="99"/>
    <w:semiHidden/>
    <w:rsid w:val="001F3096"/>
    <w:rPr>
      <w:rFonts w:asciiTheme="minorHAnsi" w:hAnsiTheme="minorHAnsi"/>
      <w:color w:val="0D003F" w:themeColor="text1"/>
      <w:sz w:val="17"/>
      <w:lang w:val="en-US"/>
    </w:rPr>
  </w:style>
  <w:style w:type="character" w:styleId="FollowedHyperlink">
    <w:name w:val="FollowedHyperlink"/>
    <w:basedOn w:val="DefaultParagraphFont"/>
    <w:semiHidden/>
    <w:unhideWhenUsed/>
    <w:rsid w:val="0081325E"/>
    <w:rPr>
      <w:color w:val="00AAC1" w:themeColor="followedHyperlink"/>
      <w:u w:val="single"/>
    </w:rPr>
  </w:style>
  <w:style w:type="character" w:styleId="Strong">
    <w:name w:val="Strong"/>
    <w:basedOn w:val="DefaultParagraphFont"/>
    <w:uiPriority w:val="22"/>
    <w:qFormat/>
    <w:rsid w:val="006168F7"/>
    <w:rPr>
      <w:b/>
      <w:bCs/>
    </w:rPr>
  </w:style>
  <w:style w:type="paragraph" w:styleId="EndnoteText">
    <w:name w:val="endnote text"/>
    <w:basedOn w:val="Normal"/>
    <w:link w:val="EndnoteTextChar"/>
    <w:semiHidden/>
    <w:unhideWhenUsed/>
    <w:rsid w:val="00CC16EE"/>
    <w:pPr>
      <w:spacing w:line="240" w:lineRule="auto"/>
    </w:pPr>
    <w:rPr>
      <w:sz w:val="20"/>
    </w:rPr>
  </w:style>
  <w:style w:type="character" w:customStyle="1" w:styleId="EndnoteTextChar">
    <w:name w:val="Endnote Text Char"/>
    <w:basedOn w:val="DefaultParagraphFont"/>
    <w:link w:val="EndnoteText"/>
    <w:semiHidden/>
    <w:rsid w:val="00CC16EE"/>
    <w:rPr>
      <w:rFonts w:asciiTheme="minorHAnsi" w:hAnsiTheme="minorHAnsi"/>
      <w:color w:val="0D003F" w:themeColor="text1"/>
      <w:lang w:val="en-US"/>
    </w:rPr>
  </w:style>
  <w:style w:type="character" w:styleId="EndnoteReference">
    <w:name w:val="endnote reference"/>
    <w:basedOn w:val="DefaultParagraphFont"/>
    <w:unhideWhenUsed/>
    <w:rsid w:val="00CC16EE"/>
    <w:rPr>
      <w:vertAlign w:val="superscript"/>
    </w:rPr>
  </w:style>
  <w:style w:type="paragraph" w:customStyle="1" w:styleId="Head1">
    <w:name w:val="Head 1"/>
    <w:qFormat/>
    <w:rsid w:val="0082087A"/>
    <w:pPr>
      <w:pBdr>
        <w:left w:val="single" w:sz="24" w:space="4" w:color="1774F5" w:themeColor="accent1"/>
      </w:pBdr>
      <w:spacing w:before="120" w:after="120"/>
      <w:ind w:right="576"/>
      <w:jc w:val="both"/>
    </w:pPr>
    <w:rPr>
      <w:rFonts w:asciiTheme="minorHAnsi" w:eastAsiaTheme="minorEastAsia" w:hAnsiTheme="minorHAnsi"/>
      <w:b/>
      <w:bCs/>
      <w:color w:val="1774F5" w:themeColor="accent1"/>
      <w:sz w:val="28"/>
      <w:szCs w:val="40"/>
      <w:lang w:val="sv-SE"/>
      <w14:numSpacing w14:val="proportional"/>
    </w:rPr>
  </w:style>
  <w:style w:type="paragraph" w:customStyle="1" w:styleId="Head1A">
    <w:name w:val="Head 1A"/>
    <w:basedOn w:val="Head1"/>
    <w:qFormat/>
    <w:rsid w:val="00B73AC2"/>
    <w:rPr>
      <w:noProof/>
      <w:color w:val="0D003F" w:themeColor="text1"/>
      <w:sz w:val="26"/>
    </w:rPr>
  </w:style>
  <w:style w:type="paragraph" w:styleId="NoSpacing">
    <w:name w:val="No Spacing"/>
    <w:link w:val="NoSpacingChar"/>
    <w:uiPriority w:val="1"/>
    <w:qFormat/>
    <w:rsid w:val="00650E3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50E3A"/>
    <w:rPr>
      <w:rFonts w:asciiTheme="minorHAnsi" w:eastAsiaTheme="minorEastAsia" w:hAnsiTheme="minorHAnsi" w:cstheme="minorBidi"/>
      <w:sz w:val="22"/>
      <w:szCs w:val="22"/>
      <w:lang w:val="en-US" w:eastAsia="en-US"/>
    </w:rPr>
  </w:style>
  <w:style w:type="paragraph" w:customStyle="1" w:styleId="Mainheading">
    <w:name w:val="Main heading"/>
    <w:qFormat/>
    <w:rsid w:val="00FC33C7"/>
    <w:pPr>
      <w:spacing w:after="120"/>
    </w:pPr>
    <w:rPr>
      <w:rFonts w:asciiTheme="minorHAnsi" w:hAnsiTheme="minorHAnsi"/>
      <w:b/>
      <w:color w:val="FFFFFF" w:themeColor="background1"/>
      <w:sz w:val="80"/>
      <w:lang w:val="sv-SE"/>
    </w:rPr>
  </w:style>
  <w:style w:type="paragraph" w:customStyle="1" w:styleId="Mainheading3">
    <w:name w:val="Main heading 3"/>
    <w:qFormat/>
    <w:rsid w:val="00FC33C7"/>
    <w:rPr>
      <w:rFonts w:asciiTheme="minorHAnsi" w:hAnsiTheme="minorHAnsi"/>
      <w:b/>
      <w:color w:val="0D003F" w:themeColor="text1"/>
      <w:sz w:val="80"/>
      <w:lang w:val="sv-SE"/>
    </w:rPr>
  </w:style>
  <w:style w:type="paragraph" w:customStyle="1" w:styleId="SubMainheading2">
    <w:name w:val="Sub Main heading 2"/>
    <w:qFormat/>
    <w:rsid w:val="00FC33C7"/>
    <w:rPr>
      <w:rFonts w:asciiTheme="minorHAnsi" w:hAnsiTheme="minorHAnsi"/>
      <w:color w:val="1774F5" w:themeColor="accent1"/>
      <w:sz w:val="52"/>
      <w:lang w:val="sv-SE"/>
    </w:rPr>
  </w:style>
  <w:style w:type="character" w:customStyle="1" w:styleId="Heading2Char">
    <w:name w:val="Heading 2 Char"/>
    <w:aliases w:val="A First heading level for section Char"/>
    <w:basedOn w:val="DefaultParagraphFont"/>
    <w:link w:val="Heading2"/>
    <w:rsid w:val="00275548"/>
    <w:rPr>
      <w:rFonts w:asciiTheme="minorHAnsi" w:eastAsiaTheme="minorEastAsia" w:hAnsiTheme="minorHAnsi"/>
      <w:b/>
      <w:caps/>
      <w:color w:val="E68723"/>
      <w:sz w:val="24"/>
      <w:lang w:val="en-US"/>
    </w:rPr>
  </w:style>
  <w:style w:type="character" w:customStyle="1" w:styleId="Heading3Char">
    <w:name w:val="Heading 3 Char"/>
    <w:aliases w:val="B Second heading level for section Char"/>
    <w:basedOn w:val="DefaultParagraphFont"/>
    <w:link w:val="Heading3"/>
    <w:rsid w:val="00E37EF3"/>
    <w:rPr>
      <w:rFonts w:asciiTheme="minorHAnsi" w:eastAsiaTheme="minorEastAsia" w:hAnsiTheme="minorHAnsi"/>
      <w:b/>
      <w:iCs/>
      <w:color w:val="0D003F" w:themeColor="text1"/>
      <w:sz w:val="17"/>
      <w:lang w:val="en-US"/>
    </w:rPr>
  </w:style>
  <w:style w:type="paragraph" w:styleId="NormalWeb">
    <w:name w:val="Normal (Web)"/>
    <w:basedOn w:val="Normal"/>
    <w:semiHidden/>
    <w:unhideWhenUsed/>
    <w:rsid w:val="002D119A"/>
    <w:rPr>
      <w:rFonts w:ascii="Times New Roman" w:hAnsi="Times New Roman"/>
      <w:sz w:val="24"/>
      <w:szCs w:val="24"/>
    </w:rPr>
  </w:style>
  <w:style w:type="character" w:styleId="Mention">
    <w:name w:val="Mention"/>
    <w:basedOn w:val="DefaultParagraphFont"/>
    <w:uiPriority w:val="99"/>
    <w:unhideWhenUsed/>
    <w:rsid w:val="000562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7299">
      <w:bodyDiv w:val="1"/>
      <w:marLeft w:val="0"/>
      <w:marRight w:val="0"/>
      <w:marTop w:val="0"/>
      <w:marBottom w:val="0"/>
      <w:divBdr>
        <w:top w:val="none" w:sz="0" w:space="0" w:color="auto"/>
        <w:left w:val="none" w:sz="0" w:space="0" w:color="auto"/>
        <w:bottom w:val="none" w:sz="0" w:space="0" w:color="auto"/>
        <w:right w:val="none" w:sz="0" w:space="0" w:color="auto"/>
      </w:divBdr>
    </w:div>
    <w:div w:id="17237814">
      <w:bodyDiv w:val="1"/>
      <w:marLeft w:val="0"/>
      <w:marRight w:val="0"/>
      <w:marTop w:val="0"/>
      <w:marBottom w:val="0"/>
      <w:divBdr>
        <w:top w:val="none" w:sz="0" w:space="0" w:color="auto"/>
        <w:left w:val="none" w:sz="0" w:space="0" w:color="auto"/>
        <w:bottom w:val="none" w:sz="0" w:space="0" w:color="auto"/>
        <w:right w:val="none" w:sz="0" w:space="0" w:color="auto"/>
      </w:divBdr>
      <w:divsChild>
        <w:div w:id="244263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43890">
      <w:bodyDiv w:val="1"/>
      <w:marLeft w:val="0"/>
      <w:marRight w:val="0"/>
      <w:marTop w:val="0"/>
      <w:marBottom w:val="0"/>
      <w:divBdr>
        <w:top w:val="none" w:sz="0" w:space="0" w:color="auto"/>
        <w:left w:val="none" w:sz="0" w:space="0" w:color="auto"/>
        <w:bottom w:val="none" w:sz="0" w:space="0" w:color="auto"/>
        <w:right w:val="none" w:sz="0" w:space="0" w:color="auto"/>
      </w:divBdr>
    </w:div>
    <w:div w:id="29377307">
      <w:bodyDiv w:val="1"/>
      <w:marLeft w:val="0"/>
      <w:marRight w:val="0"/>
      <w:marTop w:val="0"/>
      <w:marBottom w:val="0"/>
      <w:divBdr>
        <w:top w:val="none" w:sz="0" w:space="0" w:color="auto"/>
        <w:left w:val="none" w:sz="0" w:space="0" w:color="auto"/>
        <w:bottom w:val="none" w:sz="0" w:space="0" w:color="auto"/>
        <w:right w:val="none" w:sz="0" w:space="0" w:color="auto"/>
      </w:divBdr>
    </w:div>
    <w:div w:id="31268317">
      <w:bodyDiv w:val="1"/>
      <w:marLeft w:val="0"/>
      <w:marRight w:val="0"/>
      <w:marTop w:val="0"/>
      <w:marBottom w:val="0"/>
      <w:divBdr>
        <w:top w:val="none" w:sz="0" w:space="0" w:color="auto"/>
        <w:left w:val="none" w:sz="0" w:space="0" w:color="auto"/>
        <w:bottom w:val="none" w:sz="0" w:space="0" w:color="auto"/>
        <w:right w:val="none" w:sz="0" w:space="0" w:color="auto"/>
      </w:divBdr>
    </w:div>
    <w:div w:id="31617540">
      <w:bodyDiv w:val="1"/>
      <w:marLeft w:val="0"/>
      <w:marRight w:val="0"/>
      <w:marTop w:val="0"/>
      <w:marBottom w:val="0"/>
      <w:divBdr>
        <w:top w:val="none" w:sz="0" w:space="0" w:color="auto"/>
        <w:left w:val="none" w:sz="0" w:space="0" w:color="auto"/>
        <w:bottom w:val="none" w:sz="0" w:space="0" w:color="auto"/>
        <w:right w:val="none" w:sz="0" w:space="0" w:color="auto"/>
      </w:divBdr>
    </w:div>
    <w:div w:id="33770566">
      <w:bodyDiv w:val="1"/>
      <w:marLeft w:val="0"/>
      <w:marRight w:val="0"/>
      <w:marTop w:val="0"/>
      <w:marBottom w:val="0"/>
      <w:divBdr>
        <w:top w:val="none" w:sz="0" w:space="0" w:color="auto"/>
        <w:left w:val="none" w:sz="0" w:space="0" w:color="auto"/>
        <w:bottom w:val="none" w:sz="0" w:space="0" w:color="auto"/>
        <w:right w:val="none" w:sz="0" w:space="0" w:color="auto"/>
      </w:divBdr>
    </w:div>
    <w:div w:id="36131324">
      <w:bodyDiv w:val="1"/>
      <w:marLeft w:val="0"/>
      <w:marRight w:val="0"/>
      <w:marTop w:val="0"/>
      <w:marBottom w:val="0"/>
      <w:divBdr>
        <w:top w:val="none" w:sz="0" w:space="0" w:color="auto"/>
        <w:left w:val="none" w:sz="0" w:space="0" w:color="auto"/>
        <w:bottom w:val="none" w:sz="0" w:space="0" w:color="auto"/>
        <w:right w:val="none" w:sz="0" w:space="0" w:color="auto"/>
      </w:divBdr>
    </w:div>
    <w:div w:id="38089094">
      <w:bodyDiv w:val="1"/>
      <w:marLeft w:val="0"/>
      <w:marRight w:val="0"/>
      <w:marTop w:val="0"/>
      <w:marBottom w:val="0"/>
      <w:divBdr>
        <w:top w:val="none" w:sz="0" w:space="0" w:color="auto"/>
        <w:left w:val="none" w:sz="0" w:space="0" w:color="auto"/>
        <w:bottom w:val="none" w:sz="0" w:space="0" w:color="auto"/>
        <w:right w:val="none" w:sz="0" w:space="0" w:color="auto"/>
      </w:divBdr>
    </w:div>
    <w:div w:id="38936877">
      <w:bodyDiv w:val="1"/>
      <w:marLeft w:val="0"/>
      <w:marRight w:val="0"/>
      <w:marTop w:val="0"/>
      <w:marBottom w:val="0"/>
      <w:divBdr>
        <w:top w:val="none" w:sz="0" w:space="0" w:color="auto"/>
        <w:left w:val="none" w:sz="0" w:space="0" w:color="auto"/>
        <w:bottom w:val="none" w:sz="0" w:space="0" w:color="auto"/>
        <w:right w:val="none" w:sz="0" w:space="0" w:color="auto"/>
      </w:divBdr>
    </w:div>
    <w:div w:id="39208019">
      <w:bodyDiv w:val="1"/>
      <w:marLeft w:val="0"/>
      <w:marRight w:val="0"/>
      <w:marTop w:val="0"/>
      <w:marBottom w:val="0"/>
      <w:divBdr>
        <w:top w:val="none" w:sz="0" w:space="0" w:color="auto"/>
        <w:left w:val="none" w:sz="0" w:space="0" w:color="auto"/>
        <w:bottom w:val="none" w:sz="0" w:space="0" w:color="auto"/>
        <w:right w:val="none" w:sz="0" w:space="0" w:color="auto"/>
      </w:divBdr>
    </w:div>
    <w:div w:id="43723293">
      <w:bodyDiv w:val="1"/>
      <w:marLeft w:val="0"/>
      <w:marRight w:val="0"/>
      <w:marTop w:val="0"/>
      <w:marBottom w:val="0"/>
      <w:divBdr>
        <w:top w:val="none" w:sz="0" w:space="0" w:color="auto"/>
        <w:left w:val="none" w:sz="0" w:space="0" w:color="auto"/>
        <w:bottom w:val="none" w:sz="0" w:space="0" w:color="auto"/>
        <w:right w:val="none" w:sz="0" w:space="0" w:color="auto"/>
      </w:divBdr>
    </w:div>
    <w:div w:id="46151685">
      <w:bodyDiv w:val="1"/>
      <w:marLeft w:val="0"/>
      <w:marRight w:val="0"/>
      <w:marTop w:val="0"/>
      <w:marBottom w:val="0"/>
      <w:divBdr>
        <w:top w:val="none" w:sz="0" w:space="0" w:color="auto"/>
        <w:left w:val="none" w:sz="0" w:space="0" w:color="auto"/>
        <w:bottom w:val="none" w:sz="0" w:space="0" w:color="auto"/>
        <w:right w:val="none" w:sz="0" w:space="0" w:color="auto"/>
      </w:divBdr>
    </w:div>
    <w:div w:id="47072297">
      <w:bodyDiv w:val="1"/>
      <w:marLeft w:val="0"/>
      <w:marRight w:val="0"/>
      <w:marTop w:val="0"/>
      <w:marBottom w:val="0"/>
      <w:divBdr>
        <w:top w:val="none" w:sz="0" w:space="0" w:color="auto"/>
        <w:left w:val="none" w:sz="0" w:space="0" w:color="auto"/>
        <w:bottom w:val="none" w:sz="0" w:space="0" w:color="auto"/>
        <w:right w:val="none" w:sz="0" w:space="0" w:color="auto"/>
      </w:divBdr>
      <w:divsChild>
        <w:div w:id="861015941">
          <w:marLeft w:val="0"/>
          <w:marRight w:val="0"/>
          <w:marTop w:val="0"/>
          <w:marBottom w:val="0"/>
          <w:divBdr>
            <w:top w:val="none" w:sz="0" w:space="0" w:color="auto"/>
            <w:left w:val="none" w:sz="0" w:space="0" w:color="auto"/>
            <w:bottom w:val="none" w:sz="0" w:space="0" w:color="auto"/>
            <w:right w:val="none" w:sz="0" w:space="0" w:color="auto"/>
          </w:divBdr>
          <w:divsChild>
            <w:div w:id="2010206071">
              <w:marLeft w:val="0"/>
              <w:marRight w:val="0"/>
              <w:marTop w:val="0"/>
              <w:marBottom w:val="0"/>
              <w:divBdr>
                <w:top w:val="none" w:sz="0" w:space="0" w:color="auto"/>
                <w:left w:val="none" w:sz="0" w:space="0" w:color="auto"/>
                <w:bottom w:val="none" w:sz="0" w:space="0" w:color="auto"/>
                <w:right w:val="none" w:sz="0" w:space="0" w:color="auto"/>
              </w:divBdr>
              <w:divsChild>
                <w:div w:id="2060081969">
                  <w:marLeft w:val="0"/>
                  <w:marRight w:val="0"/>
                  <w:marTop w:val="0"/>
                  <w:marBottom w:val="0"/>
                  <w:divBdr>
                    <w:top w:val="none" w:sz="0" w:space="0" w:color="auto"/>
                    <w:left w:val="none" w:sz="0" w:space="0" w:color="auto"/>
                    <w:bottom w:val="none" w:sz="0" w:space="0" w:color="auto"/>
                    <w:right w:val="none" w:sz="0" w:space="0" w:color="auto"/>
                  </w:divBdr>
                  <w:divsChild>
                    <w:div w:id="571549178">
                      <w:marLeft w:val="0"/>
                      <w:marRight w:val="0"/>
                      <w:marTop w:val="0"/>
                      <w:marBottom w:val="0"/>
                      <w:divBdr>
                        <w:top w:val="none" w:sz="0" w:space="0" w:color="auto"/>
                        <w:left w:val="none" w:sz="0" w:space="0" w:color="auto"/>
                        <w:bottom w:val="none" w:sz="0" w:space="0" w:color="auto"/>
                        <w:right w:val="none" w:sz="0" w:space="0" w:color="auto"/>
                      </w:divBdr>
                      <w:divsChild>
                        <w:div w:id="737363553">
                          <w:marLeft w:val="0"/>
                          <w:marRight w:val="0"/>
                          <w:marTop w:val="0"/>
                          <w:marBottom w:val="0"/>
                          <w:divBdr>
                            <w:top w:val="none" w:sz="0" w:space="0" w:color="auto"/>
                            <w:left w:val="none" w:sz="0" w:space="0" w:color="auto"/>
                            <w:bottom w:val="none" w:sz="0" w:space="0" w:color="auto"/>
                            <w:right w:val="none" w:sz="0" w:space="0" w:color="auto"/>
                          </w:divBdr>
                          <w:divsChild>
                            <w:div w:id="276496428">
                              <w:marLeft w:val="0"/>
                              <w:marRight w:val="0"/>
                              <w:marTop w:val="0"/>
                              <w:marBottom w:val="0"/>
                              <w:divBdr>
                                <w:top w:val="none" w:sz="0" w:space="0" w:color="auto"/>
                                <w:left w:val="none" w:sz="0" w:space="0" w:color="auto"/>
                                <w:bottom w:val="none" w:sz="0" w:space="0" w:color="auto"/>
                                <w:right w:val="none" w:sz="0" w:space="0" w:color="auto"/>
                              </w:divBdr>
                              <w:divsChild>
                                <w:div w:id="1236740756">
                                  <w:marLeft w:val="0"/>
                                  <w:marRight w:val="0"/>
                                  <w:marTop w:val="0"/>
                                  <w:marBottom w:val="0"/>
                                  <w:divBdr>
                                    <w:top w:val="none" w:sz="0" w:space="0" w:color="auto"/>
                                    <w:left w:val="none" w:sz="0" w:space="0" w:color="auto"/>
                                    <w:bottom w:val="none" w:sz="0" w:space="0" w:color="auto"/>
                                    <w:right w:val="none" w:sz="0" w:space="0" w:color="auto"/>
                                  </w:divBdr>
                                  <w:divsChild>
                                    <w:div w:id="1995406780">
                                      <w:marLeft w:val="0"/>
                                      <w:marRight w:val="0"/>
                                      <w:marTop w:val="0"/>
                                      <w:marBottom w:val="0"/>
                                      <w:divBdr>
                                        <w:top w:val="none" w:sz="0" w:space="0" w:color="auto"/>
                                        <w:left w:val="none" w:sz="0" w:space="0" w:color="auto"/>
                                        <w:bottom w:val="none" w:sz="0" w:space="0" w:color="auto"/>
                                        <w:right w:val="none" w:sz="0" w:space="0" w:color="auto"/>
                                      </w:divBdr>
                                      <w:divsChild>
                                        <w:div w:id="1832986349">
                                          <w:marLeft w:val="0"/>
                                          <w:marRight w:val="0"/>
                                          <w:marTop w:val="0"/>
                                          <w:marBottom w:val="0"/>
                                          <w:divBdr>
                                            <w:top w:val="none" w:sz="0" w:space="0" w:color="auto"/>
                                            <w:left w:val="none" w:sz="0" w:space="0" w:color="auto"/>
                                            <w:bottom w:val="none" w:sz="0" w:space="0" w:color="auto"/>
                                            <w:right w:val="none" w:sz="0" w:space="0" w:color="auto"/>
                                          </w:divBdr>
                                          <w:divsChild>
                                            <w:div w:id="837303430">
                                              <w:marLeft w:val="0"/>
                                              <w:marRight w:val="0"/>
                                              <w:marTop w:val="0"/>
                                              <w:marBottom w:val="0"/>
                                              <w:divBdr>
                                                <w:top w:val="none" w:sz="0" w:space="0" w:color="auto"/>
                                                <w:left w:val="none" w:sz="0" w:space="0" w:color="auto"/>
                                                <w:bottom w:val="none" w:sz="0" w:space="0" w:color="auto"/>
                                                <w:right w:val="none" w:sz="0" w:space="0" w:color="auto"/>
                                              </w:divBdr>
                                              <w:divsChild>
                                                <w:div w:id="19497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6347089">
          <w:marLeft w:val="0"/>
          <w:marRight w:val="0"/>
          <w:marTop w:val="0"/>
          <w:marBottom w:val="0"/>
          <w:divBdr>
            <w:top w:val="none" w:sz="0" w:space="0" w:color="auto"/>
            <w:left w:val="none" w:sz="0" w:space="0" w:color="auto"/>
            <w:bottom w:val="none" w:sz="0" w:space="0" w:color="auto"/>
            <w:right w:val="none" w:sz="0" w:space="0" w:color="auto"/>
          </w:divBdr>
          <w:divsChild>
            <w:div w:id="1209682185">
              <w:marLeft w:val="0"/>
              <w:marRight w:val="0"/>
              <w:marTop w:val="0"/>
              <w:marBottom w:val="0"/>
              <w:divBdr>
                <w:top w:val="none" w:sz="0" w:space="0" w:color="auto"/>
                <w:left w:val="none" w:sz="0" w:space="0" w:color="auto"/>
                <w:bottom w:val="none" w:sz="0" w:space="0" w:color="auto"/>
                <w:right w:val="none" w:sz="0" w:space="0" w:color="auto"/>
              </w:divBdr>
              <w:divsChild>
                <w:div w:id="11223573">
                  <w:marLeft w:val="0"/>
                  <w:marRight w:val="0"/>
                  <w:marTop w:val="0"/>
                  <w:marBottom w:val="0"/>
                  <w:divBdr>
                    <w:top w:val="none" w:sz="0" w:space="0" w:color="auto"/>
                    <w:left w:val="none" w:sz="0" w:space="0" w:color="auto"/>
                    <w:bottom w:val="none" w:sz="0" w:space="0" w:color="auto"/>
                    <w:right w:val="none" w:sz="0" w:space="0" w:color="auto"/>
                  </w:divBdr>
                  <w:divsChild>
                    <w:div w:id="20801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6997">
      <w:bodyDiv w:val="1"/>
      <w:marLeft w:val="0"/>
      <w:marRight w:val="0"/>
      <w:marTop w:val="0"/>
      <w:marBottom w:val="0"/>
      <w:divBdr>
        <w:top w:val="none" w:sz="0" w:space="0" w:color="auto"/>
        <w:left w:val="none" w:sz="0" w:space="0" w:color="auto"/>
        <w:bottom w:val="none" w:sz="0" w:space="0" w:color="auto"/>
        <w:right w:val="none" w:sz="0" w:space="0" w:color="auto"/>
      </w:divBdr>
    </w:div>
    <w:div w:id="56637313">
      <w:bodyDiv w:val="1"/>
      <w:marLeft w:val="0"/>
      <w:marRight w:val="0"/>
      <w:marTop w:val="0"/>
      <w:marBottom w:val="0"/>
      <w:divBdr>
        <w:top w:val="none" w:sz="0" w:space="0" w:color="auto"/>
        <w:left w:val="none" w:sz="0" w:space="0" w:color="auto"/>
        <w:bottom w:val="none" w:sz="0" w:space="0" w:color="auto"/>
        <w:right w:val="none" w:sz="0" w:space="0" w:color="auto"/>
      </w:divBdr>
      <w:divsChild>
        <w:div w:id="1029063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15213">
      <w:bodyDiv w:val="1"/>
      <w:marLeft w:val="0"/>
      <w:marRight w:val="0"/>
      <w:marTop w:val="0"/>
      <w:marBottom w:val="0"/>
      <w:divBdr>
        <w:top w:val="none" w:sz="0" w:space="0" w:color="auto"/>
        <w:left w:val="none" w:sz="0" w:space="0" w:color="auto"/>
        <w:bottom w:val="none" w:sz="0" w:space="0" w:color="auto"/>
        <w:right w:val="none" w:sz="0" w:space="0" w:color="auto"/>
      </w:divBdr>
    </w:div>
    <w:div w:id="77989852">
      <w:bodyDiv w:val="1"/>
      <w:marLeft w:val="0"/>
      <w:marRight w:val="0"/>
      <w:marTop w:val="0"/>
      <w:marBottom w:val="0"/>
      <w:divBdr>
        <w:top w:val="none" w:sz="0" w:space="0" w:color="auto"/>
        <w:left w:val="none" w:sz="0" w:space="0" w:color="auto"/>
        <w:bottom w:val="none" w:sz="0" w:space="0" w:color="auto"/>
        <w:right w:val="none" w:sz="0" w:space="0" w:color="auto"/>
      </w:divBdr>
    </w:div>
    <w:div w:id="79063542">
      <w:bodyDiv w:val="1"/>
      <w:marLeft w:val="0"/>
      <w:marRight w:val="0"/>
      <w:marTop w:val="0"/>
      <w:marBottom w:val="0"/>
      <w:divBdr>
        <w:top w:val="none" w:sz="0" w:space="0" w:color="auto"/>
        <w:left w:val="none" w:sz="0" w:space="0" w:color="auto"/>
        <w:bottom w:val="none" w:sz="0" w:space="0" w:color="auto"/>
        <w:right w:val="none" w:sz="0" w:space="0" w:color="auto"/>
      </w:divBdr>
    </w:div>
    <w:div w:id="79717376">
      <w:bodyDiv w:val="1"/>
      <w:marLeft w:val="0"/>
      <w:marRight w:val="0"/>
      <w:marTop w:val="0"/>
      <w:marBottom w:val="0"/>
      <w:divBdr>
        <w:top w:val="none" w:sz="0" w:space="0" w:color="auto"/>
        <w:left w:val="none" w:sz="0" w:space="0" w:color="auto"/>
        <w:bottom w:val="none" w:sz="0" w:space="0" w:color="auto"/>
        <w:right w:val="none" w:sz="0" w:space="0" w:color="auto"/>
      </w:divBdr>
    </w:div>
    <w:div w:id="86662812">
      <w:bodyDiv w:val="1"/>
      <w:marLeft w:val="0"/>
      <w:marRight w:val="0"/>
      <w:marTop w:val="0"/>
      <w:marBottom w:val="0"/>
      <w:divBdr>
        <w:top w:val="none" w:sz="0" w:space="0" w:color="auto"/>
        <w:left w:val="none" w:sz="0" w:space="0" w:color="auto"/>
        <w:bottom w:val="none" w:sz="0" w:space="0" w:color="auto"/>
        <w:right w:val="none" w:sz="0" w:space="0" w:color="auto"/>
      </w:divBdr>
    </w:div>
    <w:div w:id="87888456">
      <w:bodyDiv w:val="1"/>
      <w:marLeft w:val="0"/>
      <w:marRight w:val="0"/>
      <w:marTop w:val="0"/>
      <w:marBottom w:val="0"/>
      <w:divBdr>
        <w:top w:val="none" w:sz="0" w:space="0" w:color="auto"/>
        <w:left w:val="none" w:sz="0" w:space="0" w:color="auto"/>
        <w:bottom w:val="none" w:sz="0" w:space="0" w:color="auto"/>
        <w:right w:val="none" w:sz="0" w:space="0" w:color="auto"/>
      </w:divBdr>
    </w:div>
    <w:div w:id="94835796">
      <w:bodyDiv w:val="1"/>
      <w:marLeft w:val="0"/>
      <w:marRight w:val="0"/>
      <w:marTop w:val="0"/>
      <w:marBottom w:val="0"/>
      <w:divBdr>
        <w:top w:val="none" w:sz="0" w:space="0" w:color="auto"/>
        <w:left w:val="none" w:sz="0" w:space="0" w:color="auto"/>
        <w:bottom w:val="none" w:sz="0" w:space="0" w:color="auto"/>
        <w:right w:val="none" w:sz="0" w:space="0" w:color="auto"/>
      </w:divBdr>
    </w:div>
    <w:div w:id="95298235">
      <w:bodyDiv w:val="1"/>
      <w:marLeft w:val="0"/>
      <w:marRight w:val="0"/>
      <w:marTop w:val="0"/>
      <w:marBottom w:val="0"/>
      <w:divBdr>
        <w:top w:val="none" w:sz="0" w:space="0" w:color="auto"/>
        <w:left w:val="none" w:sz="0" w:space="0" w:color="auto"/>
        <w:bottom w:val="none" w:sz="0" w:space="0" w:color="auto"/>
        <w:right w:val="none" w:sz="0" w:space="0" w:color="auto"/>
      </w:divBdr>
    </w:div>
    <w:div w:id="95638329">
      <w:bodyDiv w:val="1"/>
      <w:marLeft w:val="0"/>
      <w:marRight w:val="0"/>
      <w:marTop w:val="0"/>
      <w:marBottom w:val="0"/>
      <w:divBdr>
        <w:top w:val="none" w:sz="0" w:space="0" w:color="auto"/>
        <w:left w:val="none" w:sz="0" w:space="0" w:color="auto"/>
        <w:bottom w:val="none" w:sz="0" w:space="0" w:color="auto"/>
        <w:right w:val="none" w:sz="0" w:space="0" w:color="auto"/>
      </w:divBdr>
    </w:div>
    <w:div w:id="106774332">
      <w:bodyDiv w:val="1"/>
      <w:marLeft w:val="0"/>
      <w:marRight w:val="0"/>
      <w:marTop w:val="0"/>
      <w:marBottom w:val="0"/>
      <w:divBdr>
        <w:top w:val="none" w:sz="0" w:space="0" w:color="auto"/>
        <w:left w:val="none" w:sz="0" w:space="0" w:color="auto"/>
        <w:bottom w:val="none" w:sz="0" w:space="0" w:color="auto"/>
        <w:right w:val="none" w:sz="0" w:space="0" w:color="auto"/>
      </w:divBdr>
    </w:div>
    <w:div w:id="111286139">
      <w:bodyDiv w:val="1"/>
      <w:marLeft w:val="0"/>
      <w:marRight w:val="0"/>
      <w:marTop w:val="0"/>
      <w:marBottom w:val="0"/>
      <w:divBdr>
        <w:top w:val="none" w:sz="0" w:space="0" w:color="auto"/>
        <w:left w:val="none" w:sz="0" w:space="0" w:color="auto"/>
        <w:bottom w:val="none" w:sz="0" w:space="0" w:color="auto"/>
        <w:right w:val="none" w:sz="0" w:space="0" w:color="auto"/>
      </w:divBdr>
    </w:div>
    <w:div w:id="117573385">
      <w:bodyDiv w:val="1"/>
      <w:marLeft w:val="0"/>
      <w:marRight w:val="0"/>
      <w:marTop w:val="0"/>
      <w:marBottom w:val="0"/>
      <w:divBdr>
        <w:top w:val="none" w:sz="0" w:space="0" w:color="auto"/>
        <w:left w:val="none" w:sz="0" w:space="0" w:color="auto"/>
        <w:bottom w:val="none" w:sz="0" w:space="0" w:color="auto"/>
        <w:right w:val="none" w:sz="0" w:space="0" w:color="auto"/>
      </w:divBdr>
    </w:div>
    <w:div w:id="120349802">
      <w:bodyDiv w:val="1"/>
      <w:marLeft w:val="0"/>
      <w:marRight w:val="0"/>
      <w:marTop w:val="0"/>
      <w:marBottom w:val="0"/>
      <w:divBdr>
        <w:top w:val="none" w:sz="0" w:space="0" w:color="auto"/>
        <w:left w:val="none" w:sz="0" w:space="0" w:color="auto"/>
        <w:bottom w:val="none" w:sz="0" w:space="0" w:color="auto"/>
        <w:right w:val="none" w:sz="0" w:space="0" w:color="auto"/>
      </w:divBdr>
    </w:div>
    <w:div w:id="121924362">
      <w:bodyDiv w:val="1"/>
      <w:marLeft w:val="0"/>
      <w:marRight w:val="0"/>
      <w:marTop w:val="0"/>
      <w:marBottom w:val="0"/>
      <w:divBdr>
        <w:top w:val="none" w:sz="0" w:space="0" w:color="auto"/>
        <w:left w:val="none" w:sz="0" w:space="0" w:color="auto"/>
        <w:bottom w:val="none" w:sz="0" w:space="0" w:color="auto"/>
        <w:right w:val="none" w:sz="0" w:space="0" w:color="auto"/>
      </w:divBdr>
    </w:div>
    <w:div w:id="125004357">
      <w:bodyDiv w:val="1"/>
      <w:marLeft w:val="0"/>
      <w:marRight w:val="0"/>
      <w:marTop w:val="0"/>
      <w:marBottom w:val="0"/>
      <w:divBdr>
        <w:top w:val="none" w:sz="0" w:space="0" w:color="auto"/>
        <w:left w:val="none" w:sz="0" w:space="0" w:color="auto"/>
        <w:bottom w:val="none" w:sz="0" w:space="0" w:color="auto"/>
        <w:right w:val="none" w:sz="0" w:space="0" w:color="auto"/>
      </w:divBdr>
    </w:div>
    <w:div w:id="132216345">
      <w:bodyDiv w:val="1"/>
      <w:marLeft w:val="0"/>
      <w:marRight w:val="0"/>
      <w:marTop w:val="0"/>
      <w:marBottom w:val="0"/>
      <w:divBdr>
        <w:top w:val="none" w:sz="0" w:space="0" w:color="auto"/>
        <w:left w:val="none" w:sz="0" w:space="0" w:color="auto"/>
        <w:bottom w:val="none" w:sz="0" w:space="0" w:color="auto"/>
        <w:right w:val="none" w:sz="0" w:space="0" w:color="auto"/>
      </w:divBdr>
    </w:div>
    <w:div w:id="140462285">
      <w:bodyDiv w:val="1"/>
      <w:marLeft w:val="0"/>
      <w:marRight w:val="0"/>
      <w:marTop w:val="0"/>
      <w:marBottom w:val="0"/>
      <w:divBdr>
        <w:top w:val="none" w:sz="0" w:space="0" w:color="auto"/>
        <w:left w:val="none" w:sz="0" w:space="0" w:color="auto"/>
        <w:bottom w:val="none" w:sz="0" w:space="0" w:color="auto"/>
        <w:right w:val="none" w:sz="0" w:space="0" w:color="auto"/>
      </w:divBdr>
    </w:div>
    <w:div w:id="140512731">
      <w:bodyDiv w:val="1"/>
      <w:marLeft w:val="0"/>
      <w:marRight w:val="0"/>
      <w:marTop w:val="0"/>
      <w:marBottom w:val="0"/>
      <w:divBdr>
        <w:top w:val="none" w:sz="0" w:space="0" w:color="auto"/>
        <w:left w:val="none" w:sz="0" w:space="0" w:color="auto"/>
        <w:bottom w:val="none" w:sz="0" w:space="0" w:color="auto"/>
        <w:right w:val="none" w:sz="0" w:space="0" w:color="auto"/>
      </w:divBdr>
    </w:div>
    <w:div w:id="141628253">
      <w:bodyDiv w:val="1"/>
      <w:marLeft w:val="0"/>
      <w:marRight w:val="0"/>
      <w:marTop w:val="0"/>
      <w:marBottom w:val="0"/>
      <w:divBdr>
        <w:top w:val="none" w:sz="0" w:space="0" w:color="auto"/>
        <w:left w:val="none" w:sz="0" w:space="0" w:color="auto"/>
        <w:bottom w:val="none" w:sz="0" w:space="0" w:color="auto"/>
        <w:right w:val="none" w:sz="0" w:space="0" w:color="auto"/>
      </w:divBdr>
      <w:divsChild>
        <w:div w:id="888347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27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998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771925">
      <w:bodyDiv w:val="1"/>
      <w:marLeft w:val="0"/>
      <w:marRight w:val="0"/>
      <w:marTop w:val="0"/>
      <w:marBottom w:val="0"/>
      <w:divBdr>
        <w:top w:val="none" w:sz="0" w:space="0" w:color="auto"/>
        <w:left w:val="none" w:sz="0" w:space="0" w:color="auto"/>
        <w:bottom w:val="none" w:sz="0" w:space="0" w:color="auto"/>
        <w:right w:val="none" w:sz="0" w:space="0" w:color="auto"/>
      </w:divBdr>
    </w:div>
    <w:div w:id="147869756">
      <w:bodyDiv w:val="1"/>
      <w:marLeft w:val="0"/>
      <w:marRight w:val="0"/>
      <w:marTop w:val="0"/>
      <w:marBottom w:val="0"/>
      <w:divBdr>
        <w:top w:val="none" w:sz="0" w:space="0" w:color="auto"/>
        <w:left w:val="none" w:sz="0" w:space="0" w:color="auto"/>
        <w:bottom w:val="none" w:sz="0" w:space="0" w:color="auto"/>
        <w:right w:val="none" w:sz="0" w:space="0" w:color="auto"/>
      </w:divBdr>
    </w:div>
    <w:div w:id="148327618">
      <w:bodyDiv w:val="1"/>
      <w:marLeft w:val="0"/>
      <w:marRight w:val="0"/>
      <w:marTop w:val="0"/>
      <w:marBottom w:val="0"/>
      <w:divBdr>
        <w:top w:val="none" w:sz="0" w:space="0" w:color="auto"/>
        <w:left w:val="none" w:sz="0" w:space="0" w:color="auto"/>
        <w:bottom w:val="none" w:sz="0" w:space="0" w:color="auto"/>
        <w:right w:val="none" w:sz="0" w:space="0" w:color="auto"/>
      </w:divBdr>
    </w:div>
    <w:div w:id="161968125">
      <w:bodyDiv w:val="1"/>
      <w:marLeft w:val="0"/>
      <w:marRight w:val="0"/>
      <w:marTop w:val="0"/>
      <w:marBottom w:val="0"/>
      <w:divBdr>
        <w:top w:val="none" w:sz="0" w:space="0" w:color="auto"/>
        <w:left w:val="none" w:sz="0" w:space="0" w:color="auto"/>
        <w:bottom w:val="none" w:sz="0" w:space="0" w:color="auto"/>
        <w:right w:val="none" w:sz="0" w:space="0" w:color="auto"/>
      </w:divBdr>
    </w:div>
    <w:div w:id="163520040">
      <w:bodyDiv w:val="1"/>
      <w:marLeft w:val="0"/>
      <w:marRight w:val="0"/>
      <w:marTop w:val="0"/>
      <w:marBottom w:val="0"/>
      <w:divBdr>
        <w:top w:val="none" w:sz="0" w:space="0" w:color="auto"/>
        <w:left w:val="none" w:sz="0" w:space="0" w:color="auto"/>
        <w:bottom w:val="none" w:sz="0" w:space="0" w:color="auto"/>
        <w:right w:val="none" w:sz="0" w:space="0" w:color="auto"/>
      </w:divBdr>
    </w:div>
    <w:div w:id="188374388">
      <w:bodyDiv w:val="1"/>
      <w:marLeft w:val="0"/>
      <w:marRight w:val="0"/>
      <w:marTop w:val="0"/>
      <w:marBottom w:val="0"/>
      <w:divBdr>
        <w:top w:val="none" w:sz="0" w:space="0" w:color="auto"/>
        <w:left w:val="none" w:sz="0" w:space="0" w:color="auto"/>
        <w:bottom w:val="none" w:sz="0" w:space="0" w:color="auto"/>
        <w:right w:val="none" w:sz="0" w:space="0" w:color="auto"/>
      </w:divBdr>
    </w:div>
    <w:div w:id="192615864">
      <w:bodyDiv w:val="1"/>
      <w:marLeft w:val="0"/>
      <w:marRight w:val="0"/>
      <w:marTop w:val="0"/>
      <w:marBottom w:val="0"/>
      <w:divBdr>
        <w:top w:val="none" w:sz="0" w:space="0" w:color="auto"/>
        <w:left w:val="none" w:sz="0" w:space="0" w:color="auto"/>
        <w:bottom w:val="none" w:sz="0" w:space="0" w:color="auto"/>
        <w:right w:val="none" w:sz="0" w:space="0" w:color="auto"/>
      </w:divBdr>
    </w:div>
    <w:div w:id="194123856">
      <w:bodyDiv w:val="1"/>
      <w:marLeft w:val="0"/>
      <w:marRight w:val="0"/>
      <w:marTop w:val="0"/>
      <w:marBottom w:val="0"/>
      <w:divBdr>
        <w:top w:val="none" w:sz="0" w:space="0" w:color="auto"/>
        <w:left w:val="none" w:sz="0" w:space="0" w:color="auto"/>
        <w:bottom w:val="none" w:sz="0" w:space="0" w:color="auto"/>
        <w:right w:val="none" w:sz="0" w:space="0" w:color="auto"/>
      </w:divBdr>
    </w:div>
    <w:div w:id="195120475">
      <w:bodyDiv w:val="1"/>
      <w:marLeft w:val="0"/>
      <w:marRight w:val="0"/>
      <w:marTop w:val="0"/>
      <w:marBottom w:val="0"/>
      <w:divBdr>
        <w:top w:val="none" w:sz="0" w:space="0" w:color="auto"/>
        <w:left w:val="none" w:sz="0" w:space="0" w:color="auto"/>
        <w:bottom w:val="none" w:sz="0" w:space="0" w:color="auto"/>
        <w:right w:val="none" w:sz="0" w:space="0" w:color="auto"/>
      </w:divBdr>
    </w:div>
    <w:div w:id="203644075">
      <w:bodyDiv w:val="1"/>
      <w:marLeft w:val="0"/>
      <w:marRight w:val="0"/>
      <w:marTop w:val="0"/>
      <w:marBottom w:val="0"/>
      <w:divBdr>
        <w:top w:val="none" w:sz="0" w:space="0" w:color="auto"/>
        <w:left w:val="none" w:sz="0" w:space="0" w:color="auto"/>
        <w:bottom w:val="none" w:sz="0" w:space="0" w:color="auto"/>
        <w:right w:val="none" w:sz="0" w:space="0" w:color="auto"/>
      </w:divBdr>
    </w:div>
    <w:div w:id="206767014">
      <w:bodyDiv w:val="1"/>
      <w:marLeft w:val="0"/>
      <w:marRight w:val="0"/>
      <w:marTop w:val="0"/>
      <w:marBottom w:val="0"/>
      <w:divBdr>
        <w:top w:val="none" w:sz="0" w:space="0" w:color="auto"/>
        <w:left w:val="none" w:sz="0" w:space="0" w:color="auto"/>
        <w:bottom w:val="none" w:sz="0" w:space="0" w:color="auto"/>
        <w:right w:val="none" w:sz="0" w:space="0" w:color="auto"/>
      </w:divBdr>
    </w:div>
    <w:div w:id="207881499">
      <w:bodyDiv w:val="1"/>
      <w:marLeft w:val="0"/>
      <w:marRight w:val="0"/>
      <w:marTop w:val="0"/>
      <w:marBottom w:val="0"/>
      <w:divBdr>
        <w:top w:val="none" w:sz="0" w:space="0" w:color="auto"/>
        <w:left w:val="none" w:sz="0" w:space="0" w:color="auto"/>
        <w:bottom w:val="none" w:sz="0" w:space="0" w:color="auto"/>
        <w:right w:val="none" w:sz="0" w:space="0" w:color="auto"/>
      </w:divBdr>
    </w:div>
    <w:div w:id="210383743">
      <w:bodyDiv w:val="1"/>
      <w:marLeft w:val="0"/>
      <w:marRight w:val="0"/>
      <w:marTop w:val="0"/>
      <w:marBottom w:val="0"/>
      <w:divBdr>
        <w:top w:val="none" w:sz="0" w:space="0" w:color="auto"/>
        <w:left w:val="none" w:sz="0" w:space="0" w:color="auto"/>
        <w:bottom w:val="none" w:sz="0" w:space="0" w:color="auto"/>
        <w:right w:val="none" w:sz="0" w:space="0" w:color="auto"/>
      </w:divBdr>
    </w:div>
    <w:div w:id="214045719">
      <w:bodyDiv w:val="1"/>
      <w:marLeft w:val="0"/>
      <w:marRight w:val="0"/>
      <w:marTop w:val="0"/>
      <w:marBottom w:val="0"/>
      <w:divBdr>
        <w:top w:val="none" w:sz="0" w:space="0" w:color="auto"/>
        <w:left w:val="none" w:sz="0" w:space="0" w:color="auto"/>
        <w:bottom w:val="none" w:sz="0" w:space="0" w:color="auto"/>
        <w:right w:val="none" w:sz="0" w:space="0" w:color="auto"/>
      </w:divBdr>
      <w:divsChild>
        <w:div w:id="1391033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948325">
      <w:bodyDiv w:val="1"/>
      <w:marLeft w:val="0"/>
      <w:marRight w:val="0"/>
      <w:marTop w:val="0"/>
      <w:marBottom w:val="0"/>
      <w:divBdr>
        <w:top w:val="none" w:sz="0" w:space="0" w:color="auto"/>
        <w:left w:val="none" w:sz="0" w:space="0" w:color="auto"/>
        <w:bottom w:val="none" w:sz="0" w:space="0" w:color="auto"/>
        <w:right w:val="none" w:sz="0" w:space="0" w:color="auto"/>
      </w:divBdr>
    </w:div>
    <w:div w:id="228612737">
      <w:bodyDiv w:val="1"/>
      <w:marLeft w:val="0"/>
      <w:marRight w:val="0"/>
      <w:marTop w:val="0"/>
      <w:marBottom w:val="0"/>
      <w:divBdr>
        <w:top w:val="none" w:sz="0" w:space="0" w:color="auto"/>
        <w:left w:val="none" w:sz="0" w:space="0" w:color="auto"/>
        <w:bottom w:val="none" w:sz="0" w:space="0" w:color="auto"/>
        <w:right w:val="none" w:sz="0" w:space="0" w:color="auto"/>
      </w:divBdr>
    </w:div>
    <w:div w:id="232858719">
      <w:bodyDiv w:val="1"/>
      <w:marLeft w:val="0"/>
      <w:marRight w:val="0"/>
      <w:marTop w:val="0"/>
      <w:marBottom w:val="0"/>
      <w:divBdr>
        <w:top w:val="none" w:sz="0" w:space="0" w:color="auto"/>
        <w:left w:val="none" w:sz="0" w:space="0" w:color="auto"/>
        <w:bottom w:val="none" w:sz="0" w:space="0" w:color="auto"/>
        <w:right w:val="none" w:sz="0" w:space="0" w:color="auto"/>
      </w:divBdr>
    </w:div>
    <w:div w:id="233441192">
      <w:bodyDiv w:val="1"/>
      <w:marLeft w:val="0"/>
      <w:marRight w:val="0"/>
      <w:marTop w:val="0"/>
      <w:marBottom w:val="0"/>
      <w:divBdr>
        <w:top w:val="none" w:sz="0" w:space="0" w:color="auto"/>
        <w:left w:val="none" w:sz="0" w:space="0" w:color="auto"/>
        <w:bottom w:val="none" w:sz="0" w:space="0" w:color="auto"/>
        <w:right w:val="none" w:sz="0" w:space="0" w:color="auto"/>
      </w:divBdr>
    </w:div>
    <w:div w:id="234049354">
      <w:bodyDiv w:val="1"/>
      <w:marLeft w:val="0"/>
      <w:marRight w:val="0"/>
      <w:marTop w:val="0"/>
      <w:marBottom w:val="0"/>
      <w:divBdr>
        <w:top w:val="none" w:sz="0" w:space="0" w:color="auto"/>
        <w:left w:val="none" w:sz="0" w:space="0" w:color="auto"/>
        <w:bottom w:val="none" w:sz="0" w:space="0" w:color="auto"/>
        <w:right w:val="none" w:sz="0" w:space="0" w:color="auto"/>
      </w:divBdr>
    </w:div>
    <w:div w:id="234559907">
      <w:bodyDiv w:val="1"/>
      <w:marLeft w:val="0"/>
      <w:marRight w:val="0"/>
      <w:marTop w:val="0"/>
      <w:marBottom w:val="0"/>
      <w:divBdr>
        <w:top w:val="none" w:sz="0" w:space="0" w:color="auto"/>
        <w:left w:val="none" w:sz="0" w:space="0" w:color="auto"/>
        <w:bottom w:val="none" w:sz="0" w:space="0" w:color="auto"/>
        <w:right w:val="none" w:sz="0" w:space="0" w:color="auto"/>
      </w:divBdr>
    </w:div>
    <w:div w:id="237399314">
      <w:bodyDiv w:val="1"/>
      <w:marLeft w:val="0"/>
      <w:marRight w:val="0"/>
      <w:marTop w:val="0"/>
      <w:marBottom w:val="0"/>
      <w:divBdr>
        <w:top w:val="none" w:sz="0" w:space="0" w:color="auto"/>
        <w:left w:val="none" w:sz="0" w:space="0" w:color="auto"/>
        <w:bottom w:val="none" w:sz="0" w:space="0" w:color="auto"/>
        <w:right w:val="none" w:sz="0" w:space="0" w:color="auto"/>
      </w:divBdr>
    </w:div>
    <w:div w:id="238290606">
      <w:bodyDiv w:val="1"/>
      <w:marLeft w:val="0"/>
      <w:marRight w:val="0"/>
      <w:marTop w:val="0"/>
      <w:marBottom w:val="0"/>
      <w:divBdr>
        <w:top w:val="none" w:sz="0" w:space="0" w:color="auto"/>
        <w:left w:val="none" w:sz="0" w:space="0" w:color="auto"/>
        <w:bottom w:val="none" w:sz="0" w:space="0" w:color="auto"/>
        <w:right w:val="none" w:sz="0" w:space="0" w:color="auto"/>
      </w:divBdr>
    </w:div>
    <w:div w:id="249386600">
      <w:bodyDiv w:val="1"/>
      <w:marLeft w:val="0"/>
      <w:marRight w:val="0"/>
      <w:marTop w:val="0"/>
      <w:marBottom w:val="0"/>
      <w:divBdr>
        <w:top w:val="none" w:sz="0" w:space="0" w:color="auto"/>
        <w:left w:val="none" w:sz="0" w:space="0" w:color="auto"/>
        <w:bottom w:val="none" w:sz="0" w:space="0" w:color="auto"/>
        <w:right w:val="none" w:sz="0" w:space="0" w:color="auto"/>
      </w:divBdr>
    </w:div>
    <w:div w:id="251546484">
      <w:bodyDiv w:val="1"/>
      <w:marLeft w:val="0"/>
      <w:marRight w:val="0"/>
      <w:marTop w:val="0"/>
      <w:marBottom w:val="0"/>
      <w:divBdr>
        <w:top w:val="none" w:sz="0" w:space="0" w:color="auto"/>
        <w:left w:val="none" w:sz="0" w:space="0" w:color="auto"/>
        <w:bottom w:val="none" w:sz="0" w:space="0" w:color="auto"/>
        <w:right w:val="none" w:sz="0" w:space="0" w:color="auto"/>
      </w:divBdr>
    </w:div>
    <w:div w:id="253560052">
      <w:bodyDiv w:val="1"/>
      <w:marLeft w:val="0"/>
      <w:marRight w:val="0"/>
      <w:marTop w:val="0"/>
      <w:marBottom w:val="0"/>
      <w:divBdr>
        <w:top w:val="none" w:sz="0" w:space="0" w:color="auto"/>
        <w:left w:val="none" w:sz="0" w:space="0" w:color="auto"/>
        <w:bottom w:val="none" w:sz="0" w:space="0" w:color="auto"/>
        <w:right w:val="none" w:sz="0" w:space="0" w:color="auto"/>
      </w:divBdr>
    </w:div>
    <w:div w:id="255483285">
      <w:bodyDiv w:val="1"/>
      <w:marLeft w:val="0"/>
      <w:marRight w:val="0"/>
      <w:marTop w:val="0"/>
      <w:marBottom w:val="0"/>
      <w:divBdr>
        <w:top w:val="none" w:sz="0" w:space="0" w:color="auto"/>
        <w:left w:val="none" w:sz="0" w:space="0" w:color="auto"/>
        <w:bottom w:val="none" w:sz="0" w:space="0" w:color="auto"/>
        <w:right w:val="none" w:sz="0" w:space="0" w:color="auto"/>
      </w:divBdr>
    </w:div>
    <w:div w:id="255943555">
      <w:bodyDiv w:val="1"/>
      <w:marLeft w:val="0"/>
      <w:marRight w:val="0"/>
      <w:marTop w:val="0"/>
      <w:marBottom w:val="0"/>
      <w:divBdr>
        <w:top w:val="none" w:sz="0" w:space="0" w:color="auto"/>
        <w:left w:val="none" w:sz="0" w:space="0" w:color="auto"/>
        <w:bottom w:val="none" w:sz="0" w:space="0" w:color="auto"/>
        <w:right w:val="none" w:sz="0" w:space="0" w:color="auto"/>
      </w:divBdr>
    </w:div>
    <w:div w:id="258757235">
      <w:bodyDiv w:val="1"/>
      <w:marLeft w:val="0"/>
      <w:marRight w:val="0"/>
      <w:marTop w:val="0"/>
      <w:marBottom w:val="0"/>
      <w:divBdr>
        <w:top w:val="none" w:sz="0" w:space="0" w:color="auto"/>
        <w:left w:val="none" w:sz="0" w:space="0" w:color="auto"/>
        <w:bottom w:val="none" w:sz="0" w:space="0" w:color="auto"/>
        <w:right w:val="none" w:sz="0" w:space="0" w:color="auto"/>
      </w:divBdr>
    </w:div>
    <w:div w:id="261229028">
      <w:bodyDiv w:val="1"/>
      <w:marLeft w:val="0"/>
      <w:marRight w:val="0"/>
      <w:marTop w:val="0"/>
      <w:marBottom w:val="0"/>
      <w:divBdr>
        <w:top w:val="none" w:sz="0" w:space="0" w:color="auto"/>
        <w:left w:val="none" w:sz="0" w:space="0" w:color="auto"/>
        <w:bottom w:val="none" w:sz="0" w:space="0" w:color="auto"/>
        <w:right w:val="none" w:sz="0" w:space="0" w:color="auto"/>
      </w:divBdr>
    </w:div>
    <w:div w:id="261499755">
      <w:bodyDiv w:val="1"/>
      <w:marLeft w:val="0"/>
      <w:marRight w:val="0"/>
      <w:marTop w:val="0"/>
      <w:marBottom w:val="0"/>
      <w:divBdr>
        <w:top w:val="none" w:sz="0" w:space="0" w:color="auto"/>
        <w:left w:val="none" w:sz="0" w:space="0" w:color="auto"/>
        <w:bottom w:val="none" w:sz="0" w:space="0" w:color="auto"/>
        <w:right w:val="none" w:sz="0" w:space="0" w:color="auto"/>
      </w:divBdr>
    </w:div>
    <w:div w:id="267592059">
      <w:bodyDiv w:val="1"/>
      <w:marLeft w:val="0"/>
      <w:marRight w:val="0"/>
      <w:marTop w:val="0"/>
      <w:marBottom w:val="0"/>
      <w:divBdr>
        <w:top w:val="none" w:sz="0" w:space="0" w:color="auto"/>
        <w:left w:val="none" w:sz="0" w:space="0" w:color="auto"/>
        <w:bottom w:val="none" w:sz="0" w:space="0" w:color="auto"/>
        <w:right w:val="none" w:sz="0" w:space="0" w:color="auto"/>
      </w:divBdr>
    </w:div>
    <w:div w:id="268246391">
      <w:bodyDiv w:val="1"/>
      <w:marLeft w:val="0"/>
      <w:marRight w:val="0"/>
      <w:marTop w:val="0"/>
      <w:marBottom w:val="0"/>
      <w:divBdr>
        <w:top w:val="none" w:sz="0" w:space="0" w:color="auto"/>
        <w:left w:val="none" w:sz="0" w:space="0" w:color="auto"/>
        <w:bottom w:val="none" w:sz="0" w:space="0" w:color="auto"/>
        <w:right w:val="none" w:sz="0" w:space="0" w:color="auto"/>
      </w:divBdr>
    </w:div>
    <w:div w:id="274825072">
      <w:bodyDiv w:val="1"/>
      <w:marLeft w:val="0"/>
      <w:marRight w:val="0"/>
      <w:marTop w:val="0"/>
      <w:marBottom w:val="0"/>
      <w:divBdr>
        <w:top w:val="none" w:sz="0" w:space="0" w:color="auto"/>
        <w:left w:val="none" w:sz="0" w:space="0" w:color="auto"/>
        <w:bottom w:val="none" w:sz="0" w:space="0" w:color="auto"/>
        <w:right w:val="none" w:sz="0" w:space="0" w:color="auto"/>
      </w:divBdr>
      <w:divsChild>
        <w:div w:id="1479953083">
          <w:marLeft w:val="0"/>
          <w:marRight w:val="0"/>
          <w:marTop w:val="0"/>
          <w:marBottom w:val="0"/>
          <w:divBdr>
            <w:top w:val="none" w:sz="0" w:space="0" w:color="auto"/>
            <w:left w:val="none" w:sz="0" w:space="0" w:color="auto"/>
            <w:bottom w:val="none" w:sz="0" w:space="0" w:color="auto"/>
            <w:right w:val="none" w:sz="0" w:space="0" w:color="auto"/>
          </w:divBdr>
          <w:divsChild>
            <w:div w:id="1755932024">
              <w:marLeft w:val="0"/>
              <w:marRight w:val="0"/>
              <w:marTop w:val="0"/>
              <w:marBottom w:val="0"/>
              <w:divBdr>
                <w:top w:val="none" w:sz="0" w:space="0" w:color="auto"/>
                <w:left w:val="none" w:sz="0" w:space="0" w:color="auto"/>
                <w:bottom w:val="none" w:sz="0" w:space="0" w:color="auto"/>
                <w:right w:val="none" w:sz="0" w:space="0" w:color="auto"/>
              </w:divBdr>
              <w:divsChild>
                <w:div w:id="1569075039">
                  <w:marLeft w:val="0"/>
                  <w:marRight w:val="0"/>
                  <w:marTop w:val="0"/>
                  <w:marBottom w:val="0"/>
                  <w:divBdr>
                    <w:top w:val="none" w:sz="0" w:space="0" w:color="auto"/>
                    <w:left w:val="none" w:sz="0" w:space="0" w:color="auto"/>
                    <w:bottom w:val="none" w:sz="0" w:space="0" w:color="auto"/>
                    <w:right w:val="none" w:sz="0" w:space="0" w:color="auto"/>
                  </w:divBdr>
                  <w:divsChild>
                    <w:div w:id="1661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598989">
      <w:bodyDiv w:val="1"/>
      <w:marLeft w:val="0"/>
      <w:marRight w:val="0"/>
      <w:marTop w:val="0"/>
      <w:marBottom w:val="0"/>
      <w:divBdr>
        <w:top w:val="none" w:sz="0" w:space="0" w:color="auto"/>
        <w:left w:val="none" w:sz="0" w:space="0" w:color="auto"/>
        <w:bottom w:val="none" w:sz="0" w:space="0" w:color="auto"/>
        <w:right w:val="none" w:sz="0" w:space="0" w:color="auto"/>
      </w:divBdr>
    </w:div>
    <w:div w:id="290601360">
      <w:bodyDiv w:val="1"/>
      <w:marLeft w:val="0"/>
      <w:marRight w:val="0"/>
      <w:marTop w:val="0"/>
      <w:marBottom w:val="0"/>
      <w:divBdr>
        <w:top w:val="none" w:sz="0" w:space="0" w:color="auto"/>
        <w:left w:val="none" w:sz="0" w:space="0" w:color="auto"/>
        <w:bottom w:val="none" w:sz="0" w:space="0" w:color="auto"/>
        <w:right w:val="none" w:sz="0" w:space="0" w:color="auto"/>
      </w:divBdr>
    </w:div>
    <w:div w:id="297230311">
      <w:bodyDiv w:val="1"/>
      <w:marLeft w:val="0"/>
      <w:marRight w:val="0"/>
      <w:marTop w:val="0"/>
      <w:marBottom w:val="0"/>
      <w:divBdr>
        <w:top w:val="none" w:sz="0" w:space="0" w:color="auto"/>
        <w:left w:val="none" w:sz="0" w:space="0" w:color="auto"/>
        <w:bottom w:val="none" w:sz="0" w:space="0" w:color="auto"/>
        <w:right w:val="none" w:sz="0" w:space="0" w:color="auto"/>
      </w:divBdr>
    </w:div>
    <w:div w:id="298463809">
      <w:bodyDiv w:val="1"/>
      <w:marLeft w:val="0"/>
      <w:marRight w:val="0"/>
      <w:marTop w:val="0"/>
      <w:marBottom w:val="0"/>
      <w:divBdr>
        <w:top w:val="none" w:sz="0" w:space="0" w:color="auto"/>
        <w:left w:val="none" w:sz="0" w:space="0" w:color="auto"/>
        <w:bottom w:val="none" w:sz="0" w:space="0" w:color="auto"/>
        <w:right w:val="none" w:sz="0" w:space="0" w:color="auto"/>
      </w:divBdr>
    </w:div>
    <w:div w:id="300889849">
      <w:bodyDiv w:val="1"/>
      <w:marLeft w:val="0"/>
      <w:marRight w:val="0"/>
      <w:marTop w:val="0"/>
      <w:marBottom w:val="0"/>
      <w:divBdr>
        <w:top w:val="none" w:sz="0" w:space="0" w:color="auto"/>
        <w:left w:val="none" w:sz="0" w:space="0" w:color="auto"/>
        <w:bottom w:val="none" w:sz="0" w:space="0" w:color="auto"/>
        <w:right w:val="none" w:sz="0" w:space="0" w:color="auto"/>
      </w:divBdr>
    </w:div>
    <w:div w:id="310869723">
      <w:bodyDiv w:val="1"/>
      <w:marLeft w:val="0"/>
      <w:marRight w:val="0"/>
      <w:marTop w:val="0"/>
      <w:marBottom w:val="0"/>
      <w:divBdr>
        <w:top w:val="none" w:sz="0" w:space="0" w:color="auto"/>
        <w:left w:val="none" w:sz="0" w:space="0" w:color="auto"/>
        <w:bottom w:val="none" w:sz="0" w:space="0" w:color="auto"/>
        <w:right w:val="none" w:sz="0" w:space="0" w:color="auto"/>
      </w:divBdr>
    </w:div>
    <w:div w:id="313334617">
      <w:bodyDiv w:val="1"/>
      <w:marLeft w:val="0"/>
      <w:marRight w:val="0"/>
      <w:marTop w:val="0"/>
      <w:marBottom w:val="0"/>
      <w:divBdr>
        <w:top w:val="none" w:sz="0" w:space="0" w:color="auto"/>
        <w:left w:val="none" w:sz="0" w:space="0" w:color="auto"/>
        <w:bottom w:val="none" w:sz="0" w:space="0" w:color="auto"/>
        <w:right w:val="none" w:sz="0" w:space="0" w:color="auto"/>
      </w:divBdr>
    </w:div>
    <w:div w:id="327367505">
      <w:bodyDiv w:val="1"/>
      <w:marLeft w:val="0"/>
      <w:marRight w:val="0"/>
      <w:marTop w:val="0"/>
      <w:marBottom w:val="0"/>
      <w:divBdr>
        <w:top w:val="none" w:sz="0" w:space="0" w:color="auto"/>
        <w:left w:val="none" w:sz="0" w:space="0" w:color="auto"/>
        <w:bottom w:val="none" w:sz="0" w:space="0" w:color="auto"/>
        <w:right w:val="none" w:sz="0" w:space="0" w:color="auto"/>
      </w:divBdr>
    </w:div>
    <w:div w:id="327641322">
      <w:bodyDiv w:val="1"/>
      <w:marLeft w:val="0"/>
      <w:marRight w:val="0"/>
      <w:marTop w:val="0"/>
      <w:marBottom w:val="0"/>
      <w:divBdr>
        <w:top w:val="none" w:sz="0" w:space="0" w:color="auto"/>
        <w:left w:val="none" w:sz="0" w:space="0" w:color="auto"/>
        <w:bottom w:val="none" w:sz="0" w:space="0" w:color="auto"/>
        <w:right w:val="none" w:sz="0" w:space="0" w:color="auto"/>
      </w:divBdr>
    </w:div>
    <w:div w:id="336034191">
      <w:bodyDiv w:val="1"/>
      <w:marLeft w:val="0"/>
      <w:marRight w:val="0"/>
      <w:marTop w:val="0"/>
      <w:marBottom w:val="0"/>
      <w:divBdr>
        <w:top w:val="none" w:sz="0" w:space="0" w:color="auto"/>
        <w:left w:val="none" w:sz="0" w:space="0" w:color="auto"/>
        <w:bottom w:val="none" w:sz="0" w:space="0" w:color="auto"/>
        <w:right w:val="none" w:sz="0" w:space="0" w:color="auto"/>
      </w:divBdr>
    </w:div>
    <w:div w:id="338041237">
      <w:bodyDiv w:val="1"/>
      <w:marLeft w:val="0"/>
      <w:marRight w:val="0"/>
      <w:marTop w:val="0"/>
      <w:marBottom w:val="0"/>
      <w:divBdr>
        <w:top w:val="none" w:sz="0" w:space="0" w:color="auto"/>
        <w:left w:val="none" w:sz="0" w:space="0" w:color="auto"/>
        <w:bottom w:val="none" w:sz="0" w:space="0" w:color="auto"/>
        <w:right w:val="none" w:sz="0" w:space="0" w:color="auto"/>
      </w:divBdr>
    </w:div>
    <w:div w:id="347219231">
      <w:bodyDiv w:val="1"/>
      <w:marLeft w:val="0"/>
      <w:marRight w:val="0"/>
      <w:marTop w:val="0"/>
      <w:marBottom w:val="0"/>
      <w:divBdr>
        <w:top w:val="none" w:sz="0" w:space="0" w:color="auto"/>
        <w:left w:val="none" w:sz="0" w:space="0" w:color="auto"/>
        <w:bottom w:val="none" w:sz="0" w:space="0" w:color="auto"/>
        <w:right w:val="none" w:sz="0" w:space="0" w:color="auto"/>
      </w:divBdr>
    </w:div>
    <w:div w:id="348723351">
      <w:bodyDiv w:val="1"/>
      <w:marLeft w:val="0"/>
      <w:marRight w:val="0"/>
      <w:marTop w:val="0"/>
      <w:marBottom w:val="0"/>
      <w:divBdr>
        <w:top w:val="none" w:sz="0" w:space="0" w:color="auto"/>
        <w:left w:val="none" w:sz="0" w:space="0" w:color="auto"/>
        <w:bottom w:val="none" w:sz="0" w:space="0" w:color="auto"/>
        <w:right w:val="none" w:sz="0" w:space="0" w:color="auto"/>
      </w:divBdr>
    </w:div>
    <w:div w:id="349065910">
      <w:bodyDiv w:val="1"/>
      <w:marLeft w:val="0"/>
      <w:marRight w:val="0"/>
      <w:marTop w:val="0"/>
      <w:marBottom w:val="0"/>
      <w:divBdr>
        <w:top w:val="none" w:sz="0" w:space="0" w:color="auto"/>
        <w:left w:val="none" w:sz="0" w:space="0" w:color="auto"/>
        <w:bottom w:val="none" w:sz="0" w:space="0" w:color="auto"/>
        <w:right w:val="none" w:sz="0" w:space="0" w:color="auto"/>
      </w:divBdr>
    </w:div>
    <w:div w:id="350306502">
      <w:bodyDiv w:val="1"/>
      <w:marLeft w:val="0"/>
      <w:marRight w:val="0"/>
      <w:marTop w:val="0"/>
      <w:marBottom w:val="0"/>
      <w:divBdr>
        <w:top w:val="none" w:sz="0" w:space="0" w:color="auto"/>
        <w:left w:val="none" w:sz="0" w:space="0" w:color="auto"/>
        <w:bottom w:val="none" w:sz="0" w:space="0" w:color="auto"/>
        <w:right w:val="none" w:sz="0" w:space="0" w:color="auto"/>
      </w:divBdr>
    </w:div>
    <w:div w:id="362874860">
      <w:bodyDiv w:val="1"/>
      <w:marLeft w:val="0"/>
      <w:marRight w:val="0"/>
      <w:marTop w:val="0"/>
      <w:marBottom w:val="0"/>
      <w:divBdr>
        <w:top w:val="none" w:sz="0" w:space="0" w:color="auto"/>
        <w:left w:val="none" w:sz="0" w:space="0" w:color="auto"/>
        <w:bottom w:val="none" w:sz="0" w:space="0" w:color="auto"/>
        <w:right w:val="none" w:sz="0" w:space="0" w:color="auto"/>
      </w:divBdr>
    </w:div>
    <w:div w:id="369764487">
      <w:bodyDiv w:val="1"/>
      <w:marLeft w:val="0"/>
      <w:marRight w:val="0"/>
      <w:marTop w:val="0"/>
      <w:marBottom w:val="0"/>
      <w:divBdr>
        <w:top w:val="none" w:sz="0" w:space="0" w:color="auto"/>
        <w:left w:val="none" w:sz="0" w:space="0" w:color="auto"/>
        <w:bottom w:val="none" w:sz="0" w:space="0" w:color="auto"/>
        <w:right w:val="none" w:sz="0" w:space="0" w:color="auto"/>
      </w:divBdr>
    </w:div>
    <w:div w:id="376709414">
      <w:bodyDiv w:val="1"/>
      <w:marLeft w:val="0"/>
      <w:marRight w:val="0"/>
      <w:marTop w:val="0"/>
      <w:marBottom w:val="0"/>
      <w:divBdr>
        <w:top w:val="none" w:sz="0" w:space="0" w:color="auto"/>
        <w:left w:val="none" w:sz="0" w:space="0" w:color="auto"/>
        <w:bottom w:val="none" w:sz="0" w:space="0" w:color="auto"/>
        <w:right w:val="none" w:sz="0" w:space="0" w:color="auto"/>
      </w:divBdr>
    </w:div>
    <w:div w:id="378018783">
      <w:bodyDiv w:val="1"/>
      <w:marLeft w:val="0"/>
      <w:marRight w:val="0"/>
      <w:marTop w:val="0"/>
      <w:marBottom w:val="0"/>
      <w:divBdr>
        <w:top w:val="none" w:sz="0" w:space="0" w:color="auto"/>
        <w:left w:val="none" w:sz="0" w:space="0" w:color="auto"/>
        <w:bottom w:val="none" w:sz="0" w:space="0" w:color="auto"/>
        <w:right w:val="none" w:sz="0" w:space="0" w:color="auto"/>
      </w:divBdr>
    </w:div>
    <w:div w:id="379595768">
      <w:bodyDiv w:val="1"/>
      <w:marLeft w:val="0"/>
      <w:marRight w:val="0"/>
      <w:marTop w:val="0"/>
      <w:marBottom w:val="0"/>
      <w:divBdr>
        <w:top w:val="none" w:sz="0" w:space="0" w:color="auto"/>
        <w:left w:val="none" w:sz="0" w:space="0" w:color="auto"/>
        <w:bottom w:val="none" w:sz="0" w:space="0" w:color="auto"/>
        <w:right w:val="none" w:sz="0" w:space="0" w:color="auto"/>
      </w:divBdr>
    </w:div>
    <w:div w:id="380204056">
      <w:bodyDiv w:val="1"/>
      <w:marLeft w:val="0"/>
      <w:marRight w:val="0"/>
      <w:marTop w:val="0"/>
      <w:marBottom w:val="0"/>
      <w:divBdr>
        <w:top w:val="none" w:sz="0" w:space="0" w:color="auto"/>
        <w:left w:val="none" w:sz="0" w:space="0" w:color="auto"/>
        <w:bottom w:val="none" w:sz="0" w:space="0" w:color="auto"/>
        <w:right w:val="none" w:sz="0" w:space="0" w:color="auto"/>
      </w:divBdr>
    </w:div>
    <w:div w:id="380834137">
      <w:bodyDiv w:val="1"/>
      <w:marLeft w:val="0"/>
      <w:marRight w:val="0"/>
      <w:marTop w:val="0"/>
      <w:marBottom w:val="0"/>
      <w:divBdr>
        <w:top w:val="none" w:sz="0" w:space="0" w:color="auto"/>
        <w:left w:val="none" w:sz="0" w:space="0" w:color="auto"/>
        <w:bottom w:val="none" w:sz="0" w:space="0" w:color="auto"/>
        <w:right w:val="none" w:sz="0" w:space="0" w:color="auto"/>
      </w:divBdr>
    </w:div>
    <w:div w:id="391270372">
      <w:bodyDiv w:val="1"/>
      <w:marLeft w:val="0"/>
      <w:marRight w:val="0"/>
      <w:marTop w:val="0"/>
      <w:marBottom w:val="0"/>
      <w:divBdr>
        <w:top w:val="none" w:sz="0" w:space="0" w:color="auto"/>
        <w:left w:val="none" w:sz="0" w:space="0" w:color="auto"/>
        <w:bottom w:val="none" w:sz="0" w:space="0" w:color="auto"/>
        <w:right w:val="none" w:sz="0" w:space="0" w:color="auto"/>
      </w:divBdr>
    </w:div>
    <w:div w:id="391588553">
      <w:bodyDiv w:val="1"/>
      <w:marLeft w:val="0"/>
      <w:marRight w:val="0"/>
      <w:marTop w:val="0"/>
      <w:marBottom w:val="0"/>
      <w:divBdr>
        <w:top w:val="none" w:sz="0" w:space="0" w:color="auto"/>
        <w:left w:val="none" w:sz="0" w:space="0" w:color="auto"/>
        <w:bottom w:val="none" w:sz="0" w:space="0" w:color="auto"/>
        <w:right w:val="none" w:sz="0" w:space="0" w:color="auto"/>
      </w:divBdr>
    </w:div>
    <w:div w:id="393432081">
      <w:bodyDiv w:val="1"/>
      <w:marLeft w:val="0"/>
      <w:marRight w:val="0"/>
      <w:marTop w:val="0"/>
      <w:marBottom w:val="0"/>
      <w:divBdr>
        <w:top w:val="none" w:sz="0" w:space="0" w:color="auto"/>
        <w:left w:val="none" w:sz="0" w:space="0" w:color="auto"/>
        <w:bottom w:val="none" w:sz="0" w:space="0" w:color="auto"/>
        <w:right w:val="none" w:sz="0" w:space="0" w:color="auto"/>
      </w:divBdr>
    </w:div>
    <w:div w:id="395397897">
      <w:bodyDiv w:val="1"/>
      <w:marLeft w:val="0"/>
      <w:marRight w:val="0"/>
      <w:marTop w:val="0"/>
      <w:marBottom w:val="0"/>
      <w:divBdr>
        <w:top w:val="none" w:sz="0" w:space="0" w:color="auto"/>
        <w:left w:val="none" w:sz="0" w:space="0" w:color="auto"/>
        <w:bottom w:val="none" w:sz="0" w:space="0" w:color="auto"/>
        <w:right w:val="none" w:sz="0" w:space="0" w:color="auto"/>
      </w:divBdr>
    </w:div>
    <w:div w:id="396443629">
      <w:bodyDiv w:val="1"/>
      <w:marLeft w:val="0"/>
      <w:marRight w:val="0"/>
      <w:marTop w:val="0"/>
      <w:marBottom w:val="0"/>
      <w:divBdr>
        <w:top w:val="none" w:sz="0" w:space="0" w:color="auto"/>
        <w:left w:val="none" w:sz="0" w:space="0" w:color="auto"/>
        <w:bottom w:val="none" w:sz="0" w:space="0" w:color="auto"/>
        <w:right w:val="none" w:sz="0" w:space="0" w:color="auto"/>
      </w:divBdr>
      <w:divsChild>
        <w:div w:id="135954321">
          <w:marLeft w:val="0"/>
          <w:marRight w:val="0"/>
          <w:marTop w:val="0"/>
          <w:marBottom w:val="0"/>
          <w:divBdr>
            <w:top w:val="none" w:sz="0" w:space="0" w:color="auto"/>
            <w:left w:val="none" w:sz="0" w:space="0" w:color="auto"/>
            <w:bottom w:val="none" w:sz="0" w:space="0" w:color="auto"/>
            <w:right w:val="none" w:sz="0" w:space="0" w:color="auto"/>
          </w:divBdr>
        </w:div>
        <w:div w:id="242685098">
          <w:marLeft w:val="0"/>
          <w:marRight w:val="0"/>
          <w:marTop w:val="0"/>
          <w:marBottom w:val="0"/>
          <w:divBdr>
            <w:top w:val="none" w:sz="0" w:space="0" w:color="auto"/>
            <w:left w:val="none" w:sz="0" w:space="0" w:color="auto"/>
            <w:bottom w:val="none" w:sz="0" w:space="0" w:color="auto"/>
            <w:right w:val="none" w:sz="0" w:space="0" w:color="auto"/>
          </w:divBdr>
        </w:div>
        <w:div w:id="1715348991">
          <w:marLeft w:val="0"/>
          <w:marRight w:val="0"/>
          <w:marTop w:val="0"/>
          <w:marBottom w:val="0"/>
          <w:divBdr>
            <w:top w:val="none" w:sz="0" w:space="0" w:color="auto"/>
            <w:left w:val="none" w:sz="0" w:space="0" w:color="auto"/>
            <w:bottom w:val="none" w:sz="0" w:space="0" w:color="auto"/>
            <w:right w:val="none" w:sz="0" w:space="0" w:color="auto"/>
          </w:divBdr>
        </w:div>
        <w:div w:id="2019842825">
          <w:marLeft w:val="0"/>
          <w:marRight w:val="0"/>
          <w:marTop w:val="0"/>
          <w:marBottom w:val="0"/>
          <w:divBdr>
            <w:top w:val="none" w:sz="0" w:space="0" w:color="auto"/>
            <w:left w:val="none" w:sz="0" w:space="0" w:color="auto"/>
            <w:bottom w:val="none" w:sz="0" w:space="0" w:color="auto"/>
            <w:right w:val="none" w:sz="0" w:space="0" w:color="auto"/>
          </w:divBdr>
        </w:div>
      </w:divsChild>
    </w:div>
    <w:div w:id="400562609">
      <w:bodyDiv w:val="1"/>
      <w:marLeft w:val="0"/>
      <w:marRight w:val="0"/>
      <w:marTop w:val="0"/>
      <w:marBottom w:val="0"/>
      <w:divBdr>
        <w:top w:val="none" w:sz="0" w:space="0" w:color="auto"/>
        <w:left w:val="none" w:sz="0" w:space="0" w:color="auto"/>
        <w:bottom w:val="none" w:sz="0" w:space="0" w:color="auto"/>
        <w:right w:val="none" w:sz="0" w:space="0" w:color="auto"/>
      </w:divBdr>
    </w:div>
    <w:div w:id="402604693">
      <w:bodyDiv w:val="1"/>
      <w:marLeft w:val="0"/>
      <w:marRight w:val="0"/>
      <w:marTop w:val="0"/>
      <w:marBottom w:val="0"/>
      <w:divBdr>
        <w:top w:val="none" w:sz="0" w:space="0" w:color="auto"/>
        <w:left w:val="none" w:sz="0" w:space="0" w:color="auto"/>
        <w:bottom w:val="none" w:sz="0" w:space="0" w:color="auto"/>
        <w:right w:val="none" w:sz="0" w:space="0" w:color="auto"/>
      </w:divBdr>
    </w:div>
    <w:div w:id="411777406">
      <w:bodyDiv w:val="1"/>
      <w:marLeft w:val="0"/>
      <w:marRight w:val="0"/>
      <w:marTop w:val="0"/>
      <w:marBottom w:val="0"/>
      <w:divBdr>
        <w:top w:val="none" w:sz="0" w:space="0" w:color="auto"/>
        <w:left w:val="none" w:sz="0" w:space="0" w:color="auto"/>
        <w:bottom w:val="none" w:sz="0" w:space="0" w:color="auto"/>
        <w:right w:val="none" w:sz="0" w:space="0" w:color="auto"/>
      </w:divBdr>
    </w:div>
    <w:div w:id="425348446">
      <w:bodyDiv w:val="1"/>
      <w:marLeft w:val="0"/>
      <w:marRight w:val="0"/>
      <w:marTop w:val="0"/>
      <w:marBottom w:val="0"/>
      <w:divBdr>
        <w:top w:val="none" w:sz="0" w:space="0" w:color="auto"/>
        <w:left w:val="none" w:sz="0" w:space="0" w:color="auto"/>
        <w:bottom w:val="none" w:sz="0" w:space="0" w:color="auto"/>
        <w:right w:val="none" w:sz="0" w:space="0" w:color="auto"/>
      </w:divBdr>
    </w:div>
    <w:div w:id="442460963">
      <w:bodyDiv w:val="1"/>
      <w:marLeft w:val="0"/>
      <w:marRight w:val="0"/>
      <w:marTop w:val="0"/>
      <w:marBottom w:val="0"/>
      <w:divBdr>
        <w:top w:val="none" w:sz="0" w:space="0" w:color="auto"/>
        <w:left w:val="none" w:sz="0" w:space="0" w:color="auto"/>
        <w:bottom w:val="none" w:sz="0" w:space="0" w:color="auto"/>
        <w:right w:val="none" w:sz="0" w:space="0" w:color="auto"/>
      </w:divBdr>
      <w:divsChild>
        <w:div w:id="1139229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4159059">
      <w:bodyDiv w:val="1"/>
      <w:marLeft w:val="0"/>
      <w:marRight w:val="0"/>
      <w:marTop w:val="0"/>
      <w:marBottom w:val="0"/>
      <w:divBdr>
        <w:top w:val="none" w:sz="0" w:space="0" w:color="auto"/>
        <w:left w:val="none" w:sz="0" w:space="0" w:color="auto"/>
        <w:bottom w:val="none" w:sz="0" w:space="0" w:color="auto"/>
        <w:right w:val="none" w:sz="0" w:space="0" w:color="auto"/>
      </w:divBdr>
    </w:div>
    <w:div w:id="445974246">
      <w:bodyDiv w:val="1"/>
      <w:marLeft w:val="0"/>
      <w:marRight w:val="0"/>
      <w:marTop w:val="0"/>
      <w:marBottom w:val="0"/>
      <w:divBdr>
        <w:top w:val="none" w:sz="0" w:space="0" w:color="auto"/>
        <w:left w:val="none" w:sz="0" w:space="0" w:color="auto"/>
        <w:bottom w:val="none" w:sz="0" w:space="0" w:color="auto"/>
        <w:right w:val="none" w:sz="0" w:space="0" w:color="auto"/>
      </w:divBdr>
      <w:divsChild>
        <w:div w:id="208301415">
          <w:marLeft w:val="288"/>
          <w:marRight w:val="0"/>
          <w:marTop w:val="40"/>
          <w:marBottom w:val="0"/>
          <w:divBdr>
            <w:top w:val="none" w:sz="0" w:space="0" w:color="auto"/>
            <w:left w:val="none" w:sz="0" w:space="0" w:color="auto"/>
            <w:bottom w:val="none" w:sz="0" w:space="0" w:color="auto"/>
            <w:right w:val="none" w:sz="0" w:space="0" w:color="auto"/>
          </w:divBdr>
        </w:div>
        <w:div w:id="602372836">
          <w:marLeft w:val="288"/>
          <w:marRight w:val="0"/>
          <w:marTop w:val="40"/>
          <w:marBottom w:val="0"/>
          <w:divBdr>
            <w:top w:val="none" w:sz="0" w:space="0" w:color="auto"/>
            <w:left w:val="none" w:sz="0" w:space="0" w:color="auto"/>
            <w:bottom w:val="none" w:sz="0" w:space="0" w:color="auto"/>
            <w:right w:val="none" w:sz="0" w:space="0" w:color="auto"/>
          </w:divBdr>
        </w:div>
        <w:div w:id="1174807067">
          <w:marLeft w:val="288"/>
          <w:marRight w:val="0"/>
          <w:marTop w:val="40"/>
          <w:marBottom w:val="0"/>
          <w:divBdr>
            <w:top w:val="none" w:sz="0" w:space="0" w:color="auto"/>
            <w:left w:val="none" w:sz="0" w:space="0" w:color="auto"/>
            <w:bottom w:val="none" w:sz="0" w:space="0" w:color="auto"/>
            <w:right w:val="none" w:sz="0" w:space="0" w:color="auto"/>
          </w:divBdr>
        </w:div>
        <w:div w:id="1286038460">
          <w:marLeft w:val="288"/>
          <w:marRight w:val="0"/>
          <w:marTop w:val="40"/>
          <w:marBottom w:val="0"/>
          <w:divBdr>
            <w:top w:val="none" w:sz="0" w:space="0" w:color="auto"/>
            <w:left w:val="none" w:sz="0" w:space="0" w:color="auto"/>
            <w:bottom w:val="none" w:sz="0" w:space="0" w:color="auto"/>
            <w:right w:val="none" w:sz="0" w:space="0" w:color="auto"/>
          </w:divBdr>
        </w:div>
      </w:divsChild>
    </w:div>
    <w:div w:id="447118326">
      <w:bodyDiv w:val="1"/>
      <w:marLeft w:val="0"/>
      <w:marRight w:val="0"/>
      <w:marTop w:val="0"/>
      <w:marBottom w:val="0"/>
      <w:divBdr>
        <w:top w:val="none" w:sz="0" w:space="0" w:color="auto"/>
        <w:left w:val="none" w:sz="0" w:space="0" w:color="auto"/>
        <w:bottom w:val="none" w:sz="0" w:space="0" w:color="auto"/>
        <w:right w:val="none" w:sz="0" w:space="0" w:color="auto"/>
      </w:divBdr>
    </w:div>
    <w:div w:id="461121283">
      <w:bodyDiv w:val="1"/>
      <w:marLeft w:val="0"/>
      <w:marRight w:val="0"/>
      <w:marTop w:val="0"/>
      <w:marBottom w:val="0"/>
      <w:divBdr>
        <w:top w:val="none" w:sz="0" w:space="0" w:color="auto"/>
        <w:left w:val="none" w:sz="0" w:space="0" w:color="auto"/>
        <w:bottom w:val="none" w:sz="0" w:space="0" w:color="auto"/>
        <w:right w:val="none" w:sz="0" w:space="0" w:color="auto"/>
      </w:divBdr>
    </w:div>
    <w:div w:id="468743588">
      <w:bodyDiv w:val="1"/>
      <w:marLeft w:val="0"/>
      <w:marRight w:val="0"/>
      <w:marTop w:val="0"/>
      <w:marBottom w:val="0"/>
      <w:divBdr>
        <w:top w:val="none" w:sz="0" w:space="0" w:color="auto"/>
        <w:left w:val="none" w:sz="0" w:space="0" w:color="auto"/>
        <w:bottom w:val="none" w:sz="0" w:space="0" w:color="auto"/>
        <w:right w:val="none" w:sz="0" w:space="0" w:color="auto"/>
      </w:divBdr>
    </w:div>
    <w:div w:id="468863573">
      <w:bodyDiv w:val="1"/>
      <w:marLeft w:val="0"/>
      <w:marRight w:val="0"/>
      <w:marTop w:val="0"/>
      <w:marBottom w:val="0"/>
      <w:divBdr>
        <w:top w:val="none" w:sz="0" w:space="0" w:color="auto"/>
        <w:left w:val="none" w:sz="0" w:space="0" w:color="auto"/>
        <w:bottom w:val="none" w:sz="0" w:space="0" w:color="auto"/>
        <w:right w:val="none" w:sz="0" w:space="0" w:color="auto"/>
      </w:divBdr>
    </w:div>
    <w:div w:id="469905494">
      <w:bodyDiv w:val="1"/>
      <w:marLeft w:val="0"/>
      <w:marRight w:val="0"/>
      <w:marTop w:val="0"/>
      <w:marBottom w:val="0"/>
      <w:divBdr>
        <w:top w:val="none" w:sz="0" w:space="0" w:color="auto"/>
        <w:left w:val="none" w:sz="0" w:space="0" w:color="auto"/>
        <w:bottom w:val="none" w:sz="0" w:space="0" w:color="auto"/>
        <w:right w:val="none" w:sz="0" w:space="0" w:color="auto"/>
      </w:divBdr>
      <w:divsChild>
        <w:div w:id="399136394">
          <w:marLeft w:val="0"/>
          <w:marRight w:val="0"/>
          <w:marTop w:val="0"/>
          <w:marBottom w:val="0"/>
          <w:divBdr>
            <w:top w:val="none" w:sz="0" w:space="0" w:color="auto"/>
            <w:left w:val="none" w:sz="0" w:space="0" w:color="auto"/>
            <w:bottom w:val="none" w:sz="0" w:space="0" w:color="auto"/>
            <w:right w:val="none" w:sz="0" w:space="0" w:color="auto"/>
          </w:divBdr>
          <w:divsChild>
            <w:div w:id="755328798">
              <w:marLeft w:val="0"/>
              <w:marRight w:val="0"/>
              <w:marTop w:val="0"/>
              <w:marBottom w:val="0"/>
              <w:divBdr>
                <w:top w:val="none" w:sz="0" w:space="0" w:color="auto"/>
                <w:left w:val="none" w:sz="0" w:space="0" w:color="auto"/>
                <w:bottom w:val="none" w:sz="0" w:space="0" w:color="auto"/>
                <w:right w:val="none" w:sz="0" w:space="0" w:color="auto"/>
              </w:divBdr>
              <w:divsChild>
                <w:div w:id="1045907112">
                  <w:marLeft w:val="0"/>
                  <w:marRight w:val="0"/>
                  <w:marTop w:val="0"/>
                  <w:marBottom w:val="0"/>
                  <w:divBdr>
                    <w:top w:val="none" w:sz="0" w:space="0" w:color="auto"/>
                    <w:left w:val="none" w:sz="0" w:space="0" w:color="auto"/>
                    <w:bottom w:val="none" w:sz="0" w:space="0" w:color="auto"/>
                    <w:right w:val="none" w:sz="0" w:space="0" w:color="auto"/>
                  </w:divBdr>
                  <w:divsChild>
                    <w:div w:id="891844795">
                      <w:marLeft w:val="0"/>
                      <w:marRight w:val="0"/>
                      <w:marTop w:val="0"/>
                      <w:marBottom w:val="0"/>
                      <w:divBdr>
                        <w:top w:val="none" w:sz="0" w:space="0" w:color="auto"/>
                        <w:left w:val="none" w:sz="0" w:space="0" w:color="auto"/>
                        <w:bottom w:val="none" w:sz="0" w:space="0" w:color="auto"/>
                        <w:right w:val="none" w:sz="0" w:space="0" w:color="auto"/>
                      </w:divBdr>
                      <w:divsChild>
                        <w:div w:id="267125258">
                          <w:marLeft w:val="0"/>
                          <w:marRight w:val="0"/>
                          <w:marTop w:val="0"/>
                          <w:marBottom w:val="0"/>
                          <w:divBdr>
                            <w:top w:val="none" w:sz="0" w:space="0" w:color="auto"/>
                            <w:left w:val="none" w:sz="0" w:space="0" w:color="auto"/>
                            <w:bottom w:val="none" w:sz="0" w:space="0" w:color="auto"/>
                            <w:right w:val="none" w:sz="0" w:space="0" w:color="auto"/>
                          </w:divBdr>
                          <w:divsChild>
                            <w:div w:id="1061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253201">
      <w:bodyDiv w:val="1"/>
      <w:marLeft w:val="0"/>
      <w:marRight w:val="0"/>
      <w:marTop w:val="0"/>
      <w:marBottom w:val="0"/>
      <w:divBdr>
        <w:top w:val="none" w:sz="0" w:space="0" w:color="auto"/>
        <w:left w:val="none" w:sz="0" w:space="0" w:color="auto"/>
        <w:bottom w:val="none" w:sz="0" w:space="0" w:color="auto"/>
        <w:right w:val="none" w:sz="0" w:space="0" w:color="auto"/>
      </w:divBdr>
    </w:div>
    <w:div w:id="483085111">
      <w:bodyDiv w:val="1"/>
      <w:marLeft w:val="0"/>
      <w:marRight w:val="0"/>
      <w:marTop w:val="0"/>
      <w:marBottom w:val="0"/>
      <w:divBdr>
        <w:top w:val="none" w:sz="0" w:space="0" w:color="auto"/>
        <w:left w:val="none" w:sz="0" w:space="0" w:color="auto"/>
        <w:bottom w:val="none" w:sz="0" w:space="0" w:color="auto"/>
        <w:right w:val="none" w:sz="0" w:space="0" w:color="auto"/>
      </w:divBdr>
    </w:div>
    <w:div w:id="512033422">
      <w:bodyDiv w:val="1"/>
      <w:marLeft w:val="0"/>
      <w:marRight w:val="0"/>
      <w:marTop w:val="0"/>
      <w:marBottom w:val="0"/>
      <w:divBdr>
        <w:top w:val="none" w:sz="0" w:space="0" w:color="auto"/>
        <w:left w:val="none" w:sz="0" w:space="0" w:color="auto"/>
        <w:bottom w:val="none" w:sz="0" w:space="0" w:color="auto"/>
        <w:right w:val="none" w:sz="0" w:space="0" w:color="auto"/>
      </w:divBdr>
    </w:div>
    <w:div w:id="517735916">
      <w:bodyDiv w:val="1"/>
      <w:marLeft w:val="0"/>
      <w:marRight w:val="0"/>
      <w:marTop w:val="0"/>
      <w:marBottom w:val="0"/>
      <w:divBdr>
        <w:top w:val="none" w:sz="0" w:space="0" w:color="auto"/>
        <w:left w:val="none" w:sz="0" w:space="0" w:color="auto"/>
        <w:bottom w:val="none" w:sz="0" w:space="0" w:color="auto"/>
        <w:right w:val="none" w:sz="0" w:space="0" w:color="auto"/>
      </w:divBdr>
    </w:div>
    <w:div w:id="520432434">
      <w:bodyDiv w:val="1"/>
      <w:marLeft w:val="0"/>
      <w:marRight w:val="0"/>
      <w:marTop w:val="0"/>
      <w:marBottom w:val="0"/>
      <w:divBdr>
        <w:top w:val="none" w:sz="0" w:space="0" w:color="auto"/>
        <w:left w:val="none" w:sz="0" w:space="0" w:color="auto"/>
        <w:bottom w:val="none" w:sz="0" w:space="0" w:color="auto"/>
        <w:right w:val="none" w:sz="0" w:space="0" w:color="auto"/>
      </w:divBdr>
      <w:divsChild>
        <w:div w:id="1493990294">
          <w:marLeft w:val="0"/>
          <w:marRight w:val="0"/>
          <w:marTop w:val="0"/>
          <w:marBottom w:val="0"/>
          <w:divBdr>
            <w:top w:val="none" w:sz="0" w:space="0" w:color="auto"/>
            <w:left w:val="none" w:sz="0" w:space="0" w:color="auto"/>
            <w:bottom w:val="none" w:sz="0" w:space="0" w:color="auto"/>
            <w:right w:val="none" w:sz="0" w:space="0" w:color="auto"/>
          </w:divBdr>
        </w:div>
      </w:divsChild>
    </w:div>
    <w:div w:id="520903095">
      <w:bodyDiv w:val="1"/>
      <w:marLeft w:val="0"/>
      <w:marRight w:val="0"/>
      <w:marTop w:val="0"/>
      <w:marBottom w:val="0"/>
      <w:divBdr>
        <w:top w:val="none" w:sz="0" w:space="0" w:color="auto"/>
        <w:left w:val="none" w:sz="0" w:space="0" w:color="auto"/>
        <w:bottom w:val="none" w:sz="0" w:space="0" w:color="auto"/>
        <w:right w:val="none" w:sz="0" w:space="0" w:color="auto"/>
      </w:divBdr>
    </w:div>
    <w:div w:id="521937518">
      <w:bodyDiv w:val="1"/>
      <w:marLeft w:val="0"/>
      <w:marRight w:val="0"/>
      <w:marTop w:val="0"/>
      <w:marBottom w:val="0"/>
      <w:divBdr>
        <w:top w:val="none" w:sz="0" w:space="0" w:color="auto"/>
        <w:left w:val="none" w:sz="0" w:space="0" w:color="auto"/>
        <w:bottom w:val="none" w:sz="0" w:space="0" w:color="auto"/>
        <w:right w:val="none" w:sz="0" w:space="0" w:color="auto"/>
      </w:divBdr>
    </w:div>
    <w:div w:id="523058686">
      <w:bodyDiv w:val="1"/>
      <w:marLeft w:val="0"/>
      <w:marRight w:val="0"/>
      <w:marTop w:val="0"/>
      <w:marBottom w:val="0"/>
      <w:divBdr>
        <w:top w:val="none" w:sz="0" w:space="0" w:color="auto"/>
        <w:left w:val="none" w:sz="0" w:space="0" w:color="auto"/>
        <w:bottom w:val="none" w:sz="0" w:space="0" w:color="auto"/>
        <w:right w:val="none" w:sz="0" w:space="0" w:color="auto"/>
      </w:divBdr>
    </w:div>
    <w:div w:id="525172243">
      <w:bodyDiv w:val="1"/>
      <w:marLeft w:val="0"/>
      <w:marRight w:val="0"/>
      <w:marTop w:val="0"/>
      <w:marBottom w:val="0"/>
      <w:divBdr>
        <w:top w:val="none" w:sz="0" w:space="0" w:color="auto"/>
        <w:left w:val="none" w:sz="0" w:space="0" w:color="auto"/>
        <w:bottom w:val="none" w:sz="0" w:space="0" w:color="auto"/>
        <w:right w:val="none" w:sz="0" w:space="0" w:color="auto"/>
      </w:divBdr>
    </w:div>
    <w:div w:id="527065278">
      <w:bodyDiv w:val="1"/>
      <w:marLeft w:val="0"/>
      <w:marRight w:val="0"/>
      <w:marTop w:val="0"/>
      <w:marBottom w:val="0"/>
      <w:divBdr>
        <w:top w:val="none" w:sz="0" w:space="0" w:color="auto"/>
        <w:left w:val="none" w:sz="0" w:space="0" w:color="auto"/>
        <w:bottom w:val="none" w:sz="0" w:space="0" w:color="auto"/>
        <w:right w:val="none" w:sz="0" w:space="0" w:color="auto"/>
      </w:divBdr>
      <w:divsChild>
        <w:div w:id="1557618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1384765">
      <w:bodyDiv w:val="1"/>
      <w:marLeft w:val="0"/>
      <w:marRight w:val="0"/>
      <w:marTop w:val="0"/>
      <w:marBottom w:val="0"/>
      <w:divBdr>
        <w:top w:val="none" w:sz="0" w:space="0" w:color="auto"/>
        <w:left w:val="none" w:sz="0" w:space="0" w:color="auto"/>
        <w:bottom w:val="none" w:sz="0" w:space="0" w:color="auto"/>
        <w:right w:val="none" w:sz="0" w:space="0" w:color="auto"/>
      </w:divBdr>
    </w:div>
    <w:div w:id="539316631">
      <w:bodyDiv w:val="1"/>
      <w:marLeft w:val="0"/>
      <w:marRight w:val="0"/>
      <w:marTop w:val="0"/>
      <w:marBottom w:val="0"/>
      <w:divBdr>
        <w:top w:val="none" w:sz="0" w:space="0" w:color="auto"/>
        <w:left w:val="none" w:sz="0" w:space="0" w:color="auto"/>
        <w:bottom w:val="none" w:sz="0" w:space="0" w:color="auto"/>
        <w:right w:val="none" w:sz="0" w:space="0" w:color="auto"/>
      </w:divBdr>
    </w:div>
    <w:div w:id="543832092">
      <w:bodyDiv w:val="1"/>
      <w:marLeft w:val="0"/>
      <w:marRight w:val="0"/>
      <w:marTop w:val="0"/>
      <w:marBottom w:val="0"/>
      <w:divBdr>
        <w:top w:val="none" w:sz="0" w:space="0" w:color="auto"/>
        <w:left w:val="none" w:sz="0" w:space="0" w:color="auto"/>
        <w:bottom w:val="none" w:sz="0" w:space="0" w:color="auto"/>
        <w:right w:val="none" w:sz="0" w:space="0" w:color="auto"/>
      </w:divBdr>
    </w:div>
    <w:div w:id="551423309">
      <w:bodyDiv w:val="1"/>
      <w:marLeft w:val="0"/>
      <w:marRight w:val="0"/>
      <w:marTop w:val="0"/>
      <w:marBottom w:val="0"/>
      <w:divBdr>
        <w:top w:val="none" w:sz="0" w:space="0" w:color="auto"/>
        <w:left w:val="none" w:sz="0" w:space="0" w:color="auto"/>
        <w:bottom w:val="none" w:sz="0" w:space="0" w:color="auto"/>
        <w:right w:val="none" w:sz="0" w:space="0" w:color="auto"/>
      </w:divBdr>
    </w:div>
    <w:div w:id="568350660">
      <w:bodyDiv w:val="1"/>
      <w:marLeft w:val="0"/>
      <w:marRight w:val="0"/>
      <w:marTop w:val="0"/>
      <w:marBottom w:val="0"/>
      <w:divBdr>
        <w:top w:val="none" w:sz="0" w:space="0" w:color="auto"/>
        <w:left w:val="none" w:sz="0" w:space="0" w:color="auto"/>
        <w:bottom w:val="none" w:sz="0" w:space="0" w:color="auto"/>
        <w:right w:val="none" w:sz="0" w:space="0" w:color="auto"/>
      </w:divBdr>
    </w:div>
    <w:div w:id="570501709">
      <w:bodyDiv w:val="1"/>
      <w:marLeft w:val="0"/>
      <w:marRight w:val="0"/>
      <w:marTop w:val="0"/>
      <w:marBottom w:val="0"/>
      <w:divBdr>
        <w:top w:val="none" w:sz="0" w:space="0" w:color="auto"/>
        <w:left w:val="none" w:sz="0" w:space="0" w:color="auto"/>
        <w:bottom w:val="none" w:sz="0" w:space="0" w:color="auto"/>
        <w:right w:val="none" w:sz="0" w:space="0" w:color="auto"/>
      </w:divBdr>
    </w:div>
    <w:div w:id="578247214">
      <w:bodyDiv w:val="1"/>
      <w:marLeft w:val="0"/>
      <w:marRight w:val="0"/>
      <w:marTop w:val="0"/>
      <w:marBottom w:val="0"/>
      <w:divBdr>
        <w:top w:val="none" w:sz="0" w:space="0" w:color="auto"/>
        <w:left w:val="none" w:sz="0" w:space="0" w:color="auto"/>
        <w:bottom w:val="none" w:sz="0" w:space="0" w:color="auto"/>
        <w:right w:val="none" w:sz="0" w:space="0" w:color="auto"/>
      </w:divBdr>
      <w:divsChild>
        <w:div w:id="1002245268">
          <w:marLeft w:val="288"/>
          <w:marRight w:val="0"/>
          <w:marTop w:val="40"/>
          <w:marBottom w:val="0"/>
          <w:divBdr>
            <w:top w:val="none" w:sz="0" w:space="0" w:color="auto"/>
            <w:left w:val="none" w:sz="0" w:space="0" w:color="auto"/>
            <w:bottom w:val="none" w:sz="0" w:space="0" w:color="auto"/>
            <w:right w:val="none" w:sz="0" w:space="0" w:color="auto"/>
          </w:divBdr>
        </w:div>
        <w:div w:id="1157264083">
          <w:marLeft w:val="1008"/>
          <w:marRight w:val="0"/>
          <w:marTop w:val="40"/>
          <w:marBottom w:val="0"/>
          <w:divBdr>
            <w:top w:val="none" w:sz="0" w:space="0" w:color="auto"/>
            <w:left w:val="none" w:sz="0" w:space="0" w:color="auto"/>
            <w:bottom w:val="none" w:sz="0" w:space="0" w:color="auto"/>
            <w:right w:val="none" w:sz="0" w:space="0" w:color="auto"/>
          </w:divBdr>
        </w:div>
      </w:divsChild>
    </w:div>
    <w:div w:id="584340469">
      <w:bodyDiv w:val="1"/>
      <w:marLeft w:val="0"/>
      <w:marRight w:val="0"/>
      <w:marTop w:val="0"/>
      <w:marBottom w:val="0"/>
      <w:divBdr>
        <w:top w:val="none" w:sz="0" w:space="0" w:color="auto"/>
        <w:left w:val="none" w:sz="0" w:space="0" w:color="auto"/>
        <w:bottom w:val="none" w:sz="0" w:space="0" w:color="auto"/>
        <w:right w:val="none" w:sz="0" w:space="0" w:color="auto"/>
      </w:divBdr>
    </w:div>
    <w:div w:id="586499928">
      <w:bodyDiv w:val="1"/>
      <w:marLeft w:val="0"/>
      <w:marRight w:val="0"/>
      <w:marTop w:val="0"/>
      <w:marBottom w:val="0"/>
      <w:divBdr>
        <w:top w:val="none" w:sz="0" w:space="0" w:color="auto"/>
        <w:left w:val="none" w:sz="0" w:space="0" w:color="auto"/>
        <w:bottom w:val="none" w:sz="0" w:space="0" w:color="auto"/>
        <w:right w:val="none" w:sz="0" w:space="0" w:color="auto"/>
      </w:divBdr>
    </w:div>
    <w:div w:id="588275093">
      <w:bodyDiv w:val="1"/>
      <w:marLeft w:val="0"/>
      <w:marRight w:val="0"/>
      <w:marTop w:val="0"/>
      <w:marBottom w:val="0"/>
      <w:divBdr>
        <w:top w:val="none" w:sz="0" w:space="0" w:color="auto"/>
        <w:left w:val="none" w:sz="0" w:space="0" w:color="auto"/>
        <w:bottom w:val="none" w:sz="0" w:space="0" w:color="auto"/>
        <w:right w:val="none" w:sz="0" w:space="0" w:color="auto"/>
      </w:divBdr>
      <w:divsChild>
        <w:div w:id="506945961">
          <w:marLeft w:val="288"/>
          <w:marRight w:val="0"/>
          <w:marTop w:val="40"/>
          <w:marBottom w:val="0"/>
          <w:divBdr>
            <w:top w:val="none" w:sz="0" w:space="0" w:color="auto"/>
            <w:left w:val="none" w:sz="0" w:space="0" w:color="auto"/>
            <w:bottom w:val="none" w:sz="0" w:space="0" w:color="auto"/>
            <w:right w:val="none" w:sz="0" w:space="0" w:color="auto"/>
          </w:divBdr>
        </w:div>
        <w:div w:id="1091125390">
          <w:marLeft w:val="288"/>
          <w:marRight w:val="0"/>
          <w:marTop w:val="40"/>
          <w:marBottom w:val="0"/>
          <w:divBdr>
            <w:top w:val="none" w:sz="0" w:space="0" w:color="auto"/>
            <w:left w:val="none" w:sz="0" w:space="0" w:color="auto"/>
            <w:bottom w:val="none" w:sz="0" w:space="0" w:color="auto"/>
            <w:right w:val="none" w:sz="0" w:space="0" w:color="auto"/>
          </w:divBdr>
        </w:div>
      </w:divsChild>
    </w:div>
    <w:div w:id="589775116">
      <w:bodyDiv w:val="1"/>
      <w:marLeft w:val="0"/>
      <w:marRight w:val="0"/>
      <w:marTop w:val="0"/>
      <w:marBottom w:val="0"/>
      <w:divBdr>
        <w:top w:val="none" w:sz="0" w:space="0" w:color="auto"/>
        <w:left w:val="none" w:sz="0" w:space="0" w:color="auto"/>
        <w:bottom w:val="none" w:sz="0" w:space="0" w:color="auto"/>
        <w:right w:val="none" w:sz="0" w:space="0" w:color="auto"/>
      </w:divBdr>
    </w:div>
    <w:div w:id="596603028">
      <w:bodyDiv w:val="1"/>
      <w:marLeft w:val="0"/>
      <w:marRight w:val="0"/>
      <w:marTop w:val="0"/>
      <w:marBottom w:val="0"/>
      <w:divBdr>
        <w:top w:val="none" w:sz="0" w:space="0" w:color="auto"/>
        <w:left w:val="none" w:sz="0" w:space="0" w:color="auto"/>
        <w:bottom w:val="none" w:sz="0" w:space="0" w:color="auto"/>
        <w:right w:val="none" w:sz="0" w:space="0" w:color="auto"/>
      </w:divBdr>
    </w:div>
    <w:div w:id="617877741">
      <w:bodyDiv w:val="1"/>
      <w:marLeft w:val="0"/>
      <w:marRight w:val="0"/>
      <w:marTop w:val="0"/>
      <w:marBottom w:val="0"/>
      <w:divBdr>
        <w:top w:val="none" w:sz="0" w:space="0" w:color="auto"/>
        <w:left w:val="none" w:sz="0" w:space="0" w:color="auto"/>
        <w:bottom w:val="none" w:sz="0" w:space="0" w:color="auto"/>
        <w:right w:val="none" w:sz="0" w:space="0" w:color="auto"/>
      </w:divBdr>
      <w:divsChild>
        <w:div w:id="483396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628877">
      <w:bodyDiv w:val="1"/>
      <w:marLeft w:val="0"/>
      <w:marRight w:val="0"/>
      <w:marTop w:val="0"/>
      <w:marBottom w:val="0"/>
      <w:divBdr>
        <w:top w:val="none" w:sz="0" w:space="0" w:color="auto"/>
        <w:left w:val="none" w:sz="0" w:space="0" w:color="auto"/>
        <w:bottom w:val="none" w:sz="0" w:space="0" w:color="auto"/>
        <w:right w:val="none" w:sz="0" w:space="0" w:color="auto"/>
      </w:divBdr>
    </w:div>
    <w:div w:id="631137546">
      <w:bodyDiv w:val="1"/>
      <w:marLeft w:val="0"/>
      <w:marRight w:val="0"/>
      <w:marTop w:val="0"/>
      <w:marBottom w:val="0"/>
      <w:divBdr>
        <w:top w:val="none" w:sz="0" w:space="0" w:color="auto"/>
        <w:left w:val="none" w:sz="0" w:space="0" w:color="auto"/>
        <w:bottom w:val="none" w:sz="0" w:space="0" w:color="auto"/>
        <w:right w:val="none" w:sz="0" w:space="0" w:color="auto"/>
      </w:divBdr>
    </w:div>
    <w:div w:id="640883564">
      <w:bodyDiv w:val="1"/>
      <w:marLeft w:val="0"/>
      <w:marRight w:val="0"/>
      <w:marTop w:val="0"/>
      <w:marBottom w:val="0"/>
      <w:divBdr>
        <w:top w:val="none" w:sz="0" w:space="0" w:color="auto"/>
        <w:left w:val="none" w:sz="0" w:space="0" w:color="auto"/>
        <w:bottom w:val="none" w:sz="0" w:space="0" w:color="auto"/>
        <w:right w:val="none" w:sz="0" w:space="0" w:color="auto"/>
      </w:divBdr>
    </w:div>
    <w:div w:id="641423972">
      <w:bodyDiv w:val="1"/>
      <w:marLeft w:val="0"/>
      <w:marRight w:val="0"/>
      <w:marTop w:val="0"/>
      <w:marBottom w:val="0"/>
      <w:divBdr>
        <w:top w:val="none" w:sz="0" w:space="0" w:color="auto"/>
        <w:left w:val="none" w:sz="0" w:space="0" w:color="auto"/>
        <w:bottom w:val="none" w:sz="0" w:space="0" w:color="auto"/>
        <w:right w:val="none" w:sz="0" w:space="0" w:color="auto"/>
      </w:divBdr>
      <w:divsChild>
        <w:div w:id="1569610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398545">
      <w:bodyDiv w:val="1"/>
      <w:marLeft w:val="0"/>
      <w:marRight w:val="0"/>
      <w:marTop w:val="0"/>
      <w:marBottom w:val="0"/>
      <w:divBdr>
        <w:top w:val="none" w:sz="0" w:space="0" w:color="auto"/>
        <w:left w:val="none" w:sz="0" w:space="0" w:color="auto"/>
        <w:bottom w:val="none" w:sz="0" w:space="0" w:color="auto"/>
        <w:right w:val="none" w:sz="0" w:space="0" w:color="auto"/>
      </w:divBdr>
    </w:div>
    <w:div w:id="647824978">
      <w:bodyDiv w:val="1"/>
      <w:marLeft w:val="0"/>
      <w:marRight w:val="0"/>
      <w:marTop w:val="0"/>
      <w:marBottom w:val="0"/>
      <w:divBdr>
        <w:top w:val="none" w:sz="0" w:space="0" w:color="auto"/>
        <w:left w:val="none" w:sz="0" w:space="0" w:color="auto"/>
        <w:bottom w:val="none" w:sz="0" w:space="0" w:color="auto"/>
        <w:right w:val="none" w:sz="0" w:space="0" w:color="auto"/>
      </w:divBdr>
    </w:div>
    <w:div w:id="651446813">
      <w:bodyDiv w:val="1"/>
      <w:marLeft w:val="0"/>
      <w:marRight w:val="0"/>
      <w:marTop w:val="0"/>
      <w:marBottom w:val="0"/>
      <w:divBdr>
        <w:top w:val="none" w:sz="0" w:space="0" w:color="auto"/>
        <w:left w:val="none" w:sz="0" w:space="0" w:color="auto"/>
        <w:bottom w:val="none" w:sz="0" w:space="0" w:color="auto"/>
        <w:right w:val="none" w:sz="0" w:space="0" w:color="auto"/>
      </w:divBdr>
    </w:div>
    <w:div w:id="652872824">
      <w:bodyDiv w:val="1"/>
      <w:marLeft w:val="0"/>
      <w:marRight w:val="0"/>
      <w:marTop w:val="0"/>
      <w:marBottom w:val="0"/>
      <w:divBdr>
        <w:top w:val="none" w:sz="0" w:space="0" w:color="auto"/>
        <w:left w:val="none" w:sz="0" w:space="0" w:color="auto"/>
        <w:bottom w:val="none" w:sz="0" w:space="0" w:color="auto"/>
        <w:right w:val="none" w:sz="0" w:space="0" w:color="auto"/>
      </w:divBdr>
    </w:div>
    <w:div w:id="662011821">
      <w:bodyDiv w:val="1"/>
      <w:marLeft w:val="0"/>
      <w:marRight w:val="0"/>
      <w:marTop w:val="0"/>
      <w:marBottom w:val="0"/>
      <w:divBdr>
        <w:top w:val="none" w:sz="0" w:space="0" w:color="auto"/>
        <w:left w:val="none" w:sz="0" w:space="0" w:color="auto"/>
        <w:bottom w:val="none" w:sz="0" w:space="0" w:color="auto"/>
        <w:right w:val="none" w:sz="0" w:space="0" w:color="auto"/>
      </w:divBdr>
    </w:div>
    <w:div w:id="668755570">
      <w:bodyDiv w:val="1"/>
      <w:marLeft w:val="0"/>
      <w:marRight w:val="0"/>
      <w:marTop w:val="0"/>
      <w:marBottom w:val="0"/>
      <w:divBdr>
        <w:top w:val="none" w:sz="0" w:space="0" w:color="auto"/>
        <w:left w:val="none" w:sz="0" w:space="0" w:color="auto"/>
        <w:bottom w:val="none" w:sz="0" w:space="0" w:color="auto"/>
        <w:right w:val="none" w:sz="0" w:space="0" w:color="auto"/>
      </w:divBdr>
    </w:div>
    <w:div w:id="670647138">
      <w:bodyDiv w:val="1"/>
      <w:marLeft w:val="0"/>
      <w:marRight w:val="0"/>
      <w:marTop w:val="0"/>
      <w:marBottom w:val="0"/>
      <w:divBdr>
        <w:top w:val="none" w:sz="0" w:space="0" w:color="auto"/>
        <w:left w:val="none" w:sz="0" w:space="0" w:color="auto"/>
        <w:bottom w:val="none" w:sz="0" w:space="0" w:color="auto"/>
        <w:right w:val="none" w:sz="0" w:space="0" w:color="auto"/>
      </w:divBdr>
    </w:div>
    <w:div w:id="670790456">
      <w:bodyDiv w:val="1"/>
      <w:marLeft w:val="0"/>
      <w:marRight w:val="0"/>
      <w:marTop w:val="0"/>
      <w:marBottom w:val="0"/>
      <w:divBdr>
        <w:top w:val="none" w:sz="0" w:space="0" w:color="auto"/>
        <w:left w:val="none" w:sz="0" w:space="0" w:color="auto"/>
        <w:bottom w:val="none" w:sz="0" w:space="0" w:color="auto"/>
        <w:right w:val="none" w:sz="0" w:space="0" w:color="auto"/>
      </w:divBdr>
    </w:div>
    <w:div w:id="671448312">
      <w:bodyDiv w:val="1"/>
      <w:marLeft w:val="0"/>
      <w:marRight w:val="0"/>
      <w:marTop w:val="0"/>
      <w:marBottom w:val="0"/>
      <w:divBdr>
        <w:top w:val="none" w:sz="0" w:space="0" w:color="auto"/>
        <w:left w:val="none" w:sz="0" w:space="0" w:color="auto"/>
        <w:bottom w:val="none" w:sz="0" w:space="0" w:color="auto"/>
        <w:right w:val="none" w:sz="0" w:space="0" w:color="auto"/>
      </w:divBdr>
    </w:div>
    <w:div w:id="672532865">
      <w:bodyDiv w:val="1"/>
      <w:marLeft w:val="0"/>
      <w:marRight w:val="0"/>
      <w:marTop w:val="0"/>
      <w:marBottom w:val="0"/>
      <w:divBdr>
        <w:top w:val="none" w:sz="0" w:space="0" w:color="auto"/>
        <w:left w:val="none" w:sz="0" w:space="0" w:color="auto"/>
        <w:bottom w:val="none" w:sz="0" w:space="0" w:color="auto"/>
        <w:right w:val="none" w:sz="0" w:space="0" w:color="auto"/>
      </w:divBdr>
    </w:div>
    <w:div w:id="674579823">
      <w:bodyDiv w:val="1"/>
      <w:marLeft w:val="0"/>
      <w:marRight w:val="0"/>
      <w:marTop w:val="0"/>
      <w:marBottom w:val="0"/>
      <w:divBdr>
        <w:top w:val="none" w:sz="0" w:space="0" w:color="auto"/>
        <w:left w:val="none" w:sz="0" w:space="0" w:color="auto"/>
        <w:bottom w:val="none" w:sz="0" w:space="0" w:color="auto"/>
        <w:right w:val="none" w:sz="0" w:space="0" w:color="auto"/>
      </w:divBdr>
    </w:div>
    <w:div w:id="676463088">
      <w:bodyDiv w:val="1"/>
      <w:marLeft w:val="0"/>
      <w:marRight w:val="0"/>
      <w:marTop w:val="0"/>
      <w:marBottom w:val="0"/>
      <w:divBdr>
        <w:top w:val="none" w:sz="0" w:space="0" w:color="auto"/>
        <w:left w:val="none" w:sz="0" w:space="0" w:color="auto"/>
        <w:bottom w:val="none" w:sz="0" w:space="0" w:color="auto"/>
        <w:right w:val="none" w:sz="0" w:space="0" w:color="auto"/>
      </w:divBdr>
    </w:div>
    <w:div w:id="677536046">
      <w:bodyDiv w:val="1"/>
      <w:marLeft w:val="0"/>
      <w:marRight w:val="0"/>
      <w:marTop w:val="0"/>
      <w:marBottom w:val="0"/>
      <w:divBdr>
        <w:top w:val="none" w:sz="0" w:space="0" w:color="auto"/>
        <w:left w:val="none" w:sz="0" w:space="0" w:color="auto"/>
        <w:bottom w:val="none" w:sz="0" w:space="0" w:color="auto"/>
        <w:right w:val="none" w:sz="0" w:space="0" w:color="auto"/>
      </w:divBdr>
    </w:div>
    <w:div w:id="680618612">
      <w:bodyDiv w:val="1"/>
      <w:marLeft w:val="0"/>
      <w:marRight w:val="0"/>
      <w:marTop w:val="0"/>
      <w:marBottom w:val="0"/>
      <w:divBdr>
        <w:top w:val="none" w:sz="0" w:space="0" w:color="auto"/>
        <w:left w:val="none" w:sz="0" w:space="0" w:color="auto"/>
        <w:bottom w:val="none" w:sz="0" w:space="0" w:color="auto"/>
        <w:right w:val="none" w:sz="0" w:space="0" w:color="auto"/>
      </w:divBdr>
    </w:div>
    <w:div w:id="684749941">
      <w:bodyDiv w:val="1"/>
      <w:marLeft w:val="0"/>
      <w:marRight w:val="0"/>
      <w:marTop w:val="0"/>
      <w:marBottom w:val="0"/>
      <w:divBdr>
        <w:top w:val="none" w:sz="0" w:space="0" w:color="auto"/>
        <w:left w:val="none" w:sz="0" w:space="0" w:color="auto"/>
        <w:bottom w:val="none" w:sz="0" w:space="0" w:color="auto"/>
        <w:right w:val="none" w:sz="0" w:space="0" w:color="auto"/>
      </w:divBdr>
    </w:div>
    <w:div w:id="687677267">
      <w:bodyDiv w:val="1"/>
      <w:marLeft w:val="0"/>
      <w:marRight w:val="0"/>
      <w:marTop w:val="0"/>
      <w:marBottom w:val="0"/>
      <w:divBdr>
        <w:top w:val="none" w:sz="0" w:space="0" w:color="auto"/>
        <w:left w:val="none" w:sz="0" w:space="0" w:color="auto"/>
        <w:bottom w:val="none" w:sz="0" w:space="0" w:color="auto"/>
        <w:right w:val="none" w:sz="0" w:space="0" w:color="auto"/>
      </w:divBdr>
    </w:div>
    <w:div w:id="690575045">
      <w:bodyDiv w:val="1"/>
      <w:marLeft w:val="0"/>
      <w:marRight w:val="0"/>
      <w:marTop w:val="0"/>
      <w:marBottom w:val="0"/>
      <w:divBdr>
        <w:top w:val="none" w:sz="0" w:space="0" w:color="auto"/>
        <w:left w:val="none" w:sz="0" w:space="0" w:color="auto"/>
        <w:bottom w:val="none" w:sz="0" w:space="0" w:color="auto"/>
        <w:right w:val="none" w:sz="0" w:space="0" w:color="auto"/>
      </w:divBdr>
    </w:div>
    <w:div w:id="692457997">
      <w:bodyDiv w:val="1"/>
      <w:marLeft w:val="0"/>
      <w:marRight w:val="0"/>
      <w:marTop w:val="0"/>
      <w:marBottom w:val="0"/>
      <w:divBdr>
        <w:top w:val="none" w:sz="0" w:space="0" w:color="auto"/>
        <w:left w:val="none" w:sz="0" w:space="0" w:color="auto"/>
        <w:bottom w:val="none" w:sz="0" w:space="0" w:color="auto"/>
        <w:right w:val="none" w:sz="0" w:space="0" w:color="auto"/>
      </w:divBdr>
    </w:div>
    <w:div w:id="697127148">
      <w:bodyDiv w:val="1"/>
      <w:marLeft w:val="0"/>
      <w:marRight w:val="0"/>
      <w:marTop w:val="0"/>
      <w:marBottom w:val="0"/>
      <w:divBdr>
        <w:top w:val="none" w:sz="0" w:space="0" w:color="auto"/>
        <w:left w:val="none" w:sz="0" w:space="0" w:color="auto"/>
        <w:bottom w:val="none" w:sz="0" w:space="0" w:color="auto"/>
        <w:right w:val="none" w:sz="0" w:space="0" w:color="auto"/>
      </w:divBdr>
    </w:div>
    <w:div w:id="699283712">
      <w:bodyDiv w:val="1"/>
      <w:marLeft w:val="0"/>
      <w:marRight w:val="0"/>
      <w:marTop w:val="0"/>
      <w:marBottom w:val="0"/>
      <w:divBdr>
        <w:top w:val="none" w:sz="0" w:space="0" w:color="auto"/>
        <w:left w:val="none" w:sz="0" w:space="0" w:color="auto"/>
        <w:bottom w:val="none" w:sz="0" w:space="0" w:color="auto"/>
        <w:right w:val="none" w:sz="0" w:space="0" w:color="auto"/>
      </w:divBdr>
    </w:div>
    <w:div w:id="701249907">
      <w:bodyDiv w:val="1"/>
      <w:marLeft w:val="0"/>
      <w:marRight w:val="0"/>
      <w:marTop w:val="0"/>
      <w:marBottom w:val="0"/>
      <w:divBdr>
        <w:top w:val="none" w:sz="0" w:space="0" w:color="auto"/>
        <w:left w:val="none" w:sz="0" w:space="0" w:color="auto"/>
        <w:bottom w:val="none" w:sz="0" w:space="0" w:color="auto"/>
        <w:right w:val="none" w:sz="0" w:space="0" w:color="auto"/>
      </w:divBdr>
    </w:div>
    <w:div w:id="704210677">
      <w:bodyDiv w:val="1"/>
      <w:marLeft w:val="0"/>
      <w:marRight w:val="0"/>
      <w:marTop w:val="0"/>
      <w:marBottom w:val="0"/>
      <w:divBdr>
        <w:top w:val="none" w:sz="0" w:space="0" w:color="auto"/>
        <w:left w:val="none" w:sz="0" w:space="0" w:color="auto"/>
        <w:bottom w:val="none" w:sz="0" w:space="0" w:color="auto"/>
        <w:right w:val="none" w:sz="0" w:space="0" w:color="auto"/>
      </w:divBdr>
    </w:div>
    <w:div w:id="708527610">
      <w:bodyDiv w:val="1"/>
      <w:marLeft w:val="0"/>
      <w:marRight w:val="0"/>
      <w:marTop w:val="0"/>
      <w:marBottom w:val="0"/>
      <w:divBdr>
        <w:top w:val="none" w:sz="0" w:space="0" w:color="auto"/>
        <w:left w:val="none" w:sz="0" w:space="0" w:color="auto"/>
        <w:bottom w:val="none" w:sz="0" w:space="0" w:color="auto"/>
        <w:right w:val="none" w:sz="0" w:space="0" w:color="auto"/>
      </w:divBdr>
    </w:div>
    <w:div w:id="713231905">
      <w:bodyDiv w:val="1"/>
      <w:marLeft w:val="0"/>
      <w:marRight w:val="0"/>
      <w:marTop w:val="0"/>
      <w:marBottom w:val="0"/>
      <w:divBdr>
        <w:top w:val="none" w:sz="0" w:space="0" w:color="auto"/>
        <w:left w:val="none" w:sz="0" w:space="0" w:color="auto"/>
        <w:bottom w:val="none" w:sz="0" w:space="0" w:color="auto"/>
        <w:right w:val="none" w:sz="0" w:space="0" w:color="auto"/>
      </w:divBdr>
      <w:divsChild>
        <w:div w:id="143786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23491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300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9693420">
      <w:bodyDiv w:val="1"/>
      <w:marLeft w:val="0"/>
      <w:marRight w:val="0"/>
      <w:marTop w:val="0"/>
      <w:marBottom w:val="0"/>
      <w:divBdr>
        <w:top w:val="none" w:sz="0" w:space="0" w:color="auto"/>
        <w:left w:val="none" w:sz="0" w:space="0" w:color="auto"/>
        <w:bottom w:val="none" w:sz="0" w:space="0" w:color="auto"/>
        <w:right w:val="none" w:sz="0" w:space="0" w:color="auto"/>
      </w:divBdr>
    </w:div>
    <w:div w:id="731658462">
      <w:bodyDiv w:val="1"/>
      <w:marLeft w:val="0"/>
      <w:marRight w:val="0"/>
      <w:marTop w:val="0"/>
      <w:marBottom w:val="0"/>
      <w:divBdr>
        <w:top w:val="none" w:sz="0" w:space="0" w:color="auto"/>
        <w:left w:val="none" w:sz="0" w:space="0" w:color="auto"/>
        <w:bottom w:val="none" w:sz="0" w:space="0" w:color="auto"/>
        <w:right w:val="none" w:sz="0" w:space="0" w:color="auto"/>
      </w:divBdr>
    </w:div>
    <w:div w:id="737942874">
      <w:bodyDiv w:val="1"/>
      <w:marLeft w:val="0"/>
      <w:marRight w:val="0"/>
      <w:marTop w:val="0"/>
      <w:marBottom w:val="0"/>
      <w:divBdr>
        <w:top w:val="none" w:sz="0" w:space="0" w:color="auto"/>
        <w:left w:val="none" w:sz="0" w:space="0" w:color="auto"/>
        <w:bottom w:val="none" w:sz="0" w:space="0" w:color="auto"/>
        <w:right w:val="none" w:sz="0" w:space="0" w:color="auto"/>
      </w:divBdr>
    </w:div>
    <w:div w:id="738942246">
      <w:bodyDiv w:val="1"/>
      <w:marLeft w:val="0"/>
      <w:marRight w:val="0"/>
      <w:marTop w:val="0"/>
      <w:marBottom w:val="0"/>
      <w:divBdr>
        <w:top w:val="none" w:sz="0" w:space="0" w:color="auto"/>
        <w:left w:val="none" w:sz="0" w:space="0" w:color="auto"/>
        <w:bottom w:val="none" w:sz="0" w:space="0" w:color="auto"/>
        <w:right w:val="none" w:sz="0" w:space="0" w:color="auto"/>
      </w:divBdr>
    </w:div>
    <w:div w:id="744376577">
      <w:bodyDiv w:val="1"/>
      <w:marLeft w:val="0"/>
      <w:marRight w:val="0"/>
      <w:marTop w:val="0"/>
      <w:marBottom w:val="0"/>
      <w:divBdr>
        <w:top w:val="none" w:sz="0" w:space="0" w:color="auto"/>
        <w:left w:val="none" w:sz="0" w:space="0" w:color="auto"/>
        <w:bottom w:val="none" w:sz="0" w:space="0" w:color="auto"/>
        <w:right w:val="none" w:sz="0" w:space="0" w:color="auto"/>
      </w:divBdr>
    </w:div>
    <w:div w:id="748964955">
      <w:bodyDiv w:val="1"/>
      <w:marLeft w:val="0"/>
      <w:marRight w:val="0"/>
      <w:marTop w:val="0"/>
      <w:marBottom w:val="0"/>
      <w:divBdr>
        <w:top w:val="none" w:sz="0" w:space="0" w:color="auto"/>
        <w:left w:val="none" w:sz="0" w:space="0" w:color="auto"/>
        <w:bottom w:val="none" w:sz="0" w:space="0" w:color="auto"/>
        <w:right w:val="none" w:sz="0" w:space="0" w:color="auto"/>
      </w:divBdr>
    </w:div>
    <w:div w:id="750541375">
      <w:bodyDiv w:val="1"/>
      <w:marLeft w:val="0"/>
      <w:marRight w:val="0"/>
      <w:marTop w:val="0"/>
      <w:marBottom w:val="0"/>
      <w:divBdr>
        <w:top w:val="none" w:sz="0" w:space="0" w:color="auto"/>
        <w:left w:val="none" w:sz="0" w:space="0" w:color="auto"/>
        <w:bottom w:val="none" w:sz="0" w:space="0" w:color="auto"/>
        <w:right w:val="none" w:sz="0" w:space="0" w:color="auto"/>
      </w:divBdr>
    </w:div>
    <w:div w:id="752311858">
      <w:bodyDiv w:val="1"/>
      <w:marLeft w:val="0"/>
      <w:marRight w:val="0"/>
      <w:marTop w:val="0"/>
      <w:marBottom w:val="0"/>
      <w:divBdr>
        <w:top w:val="none" w:sz="0" w:space="0" w:color="auto"/>
        <w:left w:val="none" w:sz="0" w:space="0" w:color="auto"/>
        <w:bottom w:val="none" w:sz="0" w:space="0" w:color="auto"/>
        <w:right w:val="none" w:sz="0" w:space="0" w:color="auto"/>
      </w:divBdr>
    </w:div>
    <w:div w:id="753627139">
      <w:bodyDiv w:val="1"/>
      <w:marLeft w:val="0"/>
      <w:marRight w:val="0"/>
      <w:marTop w:val="0"/>
      <w:marBottom w:val="0"/>
      <w:divBdr>
        <w:top w:val="none" w:sz="0" w:space="0" w:color="auto"/>
        <w:left w:val="none" w:sz="0" w:space="0" w:color="auto"/>
        <w:bottom w:val="none" w:sz="0" w:space="0" w:color="auto"/>
        <w:right w:val="none" w:sz="0" w:space="0" w:color="auto"/>
      </w:divBdr>
    </w:div>
    <w:div w:id="755131375">
      <w:bodyDiv w:val="1"/>
      <w:marLeft w:val="0"/>
      <w:marRight w:val="0"/>
      <w:marTop w:val="0"/>
      <w:marBottom w:val="0"/>
      <w:divBdr>
        <w:top w:val="none" w:sz="0" w:space="0" w:color="auto"/>
        <w:left w:val="none" w:sz="0" w:space="0" w:color="auto"/>
        <w:bottom w:val="none" w:sz="0" w:space="0" w:color="auto"/>
        <w:right w:val="none" w:sz="0" w:space="0" w:color="auto"/>
      </w:divBdr>
    </w:div>
    <w:div w:id="769355408">
      <w:bodyDiv w:val="1"/>
      <w:marLeft w:val="0"/>
      <w:marRight w:val="0"/>
      <w:marTop w:val="0"/>
      <w:marBottom w:val="0"/>
      <w:divBdr>
        <w:top w:val="none" w:sz="0" w:space="0" w:color="auto"/>
        <w:left w:val="none" w:sz="0" w:space="0" w:color="auto"/>
        <w:bottom w:val="none" w:sz="0" w:space="0" w:color="auto"/>
        <w:right w:val="none" w:sz="0" w:space="0" w:color="auto"/>
      </w:divBdr>
    </w:div>
    <w:div w:id="769473654">
      <w:bodyDiv w:val="1"/>
      <w:marLeft w:val="0"/>
      <w:marRight w:val="0"/>
      <w:marTop w:val="0"/>
      <w:marBottom w:val="0"/>
      <w:divBdr>
        <w:top w:val="none" w:sz="0" w:space="0" w:color="auto"/>
        <w:left w:val="none" w:sz="0" w:space="0" w:color="auto"/>
        <w:bottom w:val="none" w:sz="0" w:space="0" w:color="auto"/>
        <w:right w:val="none" w:sz="0" w:space="0" w:color="auto"/>
      </w:divBdr>
    </w:div>
    <w:div w:id="770704762">
      <w:bodyDiv w:val="1"/>
      <w:marLeft w:val="0"/>
      <w:marRight w:val="0"/>
      <w:marTop w:val="0"/>
      <w:marBottom w:val="0"/>
      <w:divBdr>
        <w:top w:val="none" w:sz="0" w:space="0" w:color="auto"/>
        <w:left w:val="none" w:sz="0" w:space="0" w:color="auto"/>
        <w:bottom w:val="none" w:sz="0" w:space="0" w:color="auto"/>
        <w:right w:val="none" w:sz="0" w:space="0" w:color="auto"/>
      </w:divBdr>
    </w:div>
    <w:div w:id="770977708">
      <w:bodyDiv w:val="1"/>
      <w:marLeft w:val="0"/>
      <w:marRight w:val="0"/>
      <w:marTop w:val="0"/>
      <w:marBottom w:val="0"/>
      <w:divBdr>
        <w:top w:val="none" w:sz="0" w:space="0" w:color="auto"/>
        <w:left w:val="none" w:sz="0" w:space="0" w:color="auto"/>
        <w:bottom w:val="none" w:sz="0" w:space="0" w:color="auto"/>
        <w:right w:val="none" w:sz="0" w:space="0" w:color="auto"/>
      </w:divBdr>
    </w:div>
    <w:div w:id="781261595">
      <w:bodyDiv w:val="1"/>
      <w:marLeft w:val="0"/>
      <w:marRight w:val="0"/>
      <w:marTop w:val="0"/>
      <w:marBottom w:val="0"/>
      <w:divBdr>
        <w:top w:val="none" w:sz="0" w:space="0" w:color="auto"/>
        <w:left w:val="none" w:sz="0" w:space="0" w:color="auto"/>
        <w:bottom w:val="none" w:sz="0" w:space="0" w:color="auto"/>
        <w:right w:val="none" w:sz="0" w:space="0" w:color="auto"/>
      </w:divBdr>
    </w:div>
    <w:div w:id="781652863">
      <w:bodyDiv w:val="1"/>
      <w:marLeft w:val="0"/>
      <w:marRight w:val="0"/>
      <w:marTop w:val="0"/>
      <w:marBottom w:val="0"/>
      <w:divBdr>
        <w:top w:val="none" w:sz="0" w:space="0" w:color="auto"/>
        <w:left w:val="none" w:sz="0" w:space="0" w:color="auto"/>
        <w:bottom w:val="none" w:sz="0" w:space="0" w:color="auto"/>
        <w:right w:val="none" w:sz="0" w:space="0" w:color="auto"/>
      </w:divBdr>
    </w:div>
    <w:div w:id="782728574">
      <w:bodyDiv w:val="1"/>
      <w:marLeft w:val="0"/>
      <w:marRight w:val="0"/>
      <w:marTop w:val="0"/>
      <w:marBottom w:val="0"/>
      <w:divBdr>
        <w:top w:val="none" w:sz="0" w:space="0" w:color="auto"/>
        <w:left w:val="none" w:sz="0" w:space="0" w:color="auto"/>
        <w:bottom w:val="none" w:sz="0" w:space="0" w:color="auto"/>
        <w:right w:val="none" w:sz="0" w:space="0" w:color="auto"/>
      </w:divBdr>
    </w:div>
    <w:div w:id="784496299">
      <w:bodyDiv w:val="1"/>
      <w:marLeft w:val="0"/>
      <w:marRight w:val="0"/>
      <w:marTop w:val="0"/>
      <w:marBottom w:val="0"/>
      <w:divBdr>
        <w:top w:val="none" w:sz="0" w:space="0" w:color="auto"/>
        <w:left w:val="none" w:sz="0" w:space="0" w:color="auto"/>
        <w:bottom w:val="none" w:sz="0" w:space="0" w:color="auto"/>
        <w:right w:val="none" w:sz="0" w:space="0" w:color="auto"/>
      </w:divBdr>
      <w:divsChild>
        <w:div w:id="1994749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04716">
      <w:bodyDiv w:val="1"/>
      <w:marLeft w:val="0"/>
      <w:marRight w:val="0"/>
      <w:marTop w:val="0"/>
      <w:marBottom w:val="0"/>
      <w:divBdr>
        <w:top w:val="none" w:sz="0" w:space="0" w:color="auto"/>
        <w:left w:val="none" w:sz="0" w:space="0" w:color="auto"/>
        <w:bottom w:val="none" w:sz="0" w:space="0" w:color="auto"/>
        <w:right w:val="none" w:sz="0" w:space="0" w:color="auto"/>
      </w:divBdr>
    </w:div>
    <w:div w:id="788428113">
      <w:bodyDiv w:val="1"/>
      <w:marLeft w:val="0"/>
      <w:marRight w:val="0"/>
      <w:marTop w:val="0"/>
      <w:marBottom w:val="0"/>
      <w:divBdr>
        <w:top w:val="none" w:sz="0" w:space="0" w:color="auto"/>
        <w:left w:val="none" w:sz="0" w:space="0" w:color="auto"/>
        <w:bottom w:val="none" w:sz="0" w:space="0" w:color="auto"/>
        <w:right w:val="none" w:sz="0" w:space="0" w:color="auto"/>
      </w:divBdr>
    </w:div>
    <w:div w:id="792789692">
      <w:bodyDiv w:val="1"/>
      <w:marLeft w:val="0"/>
      <w:marRight w:val="0"/>
      <w:marTop w:val="0"/>
      <w:marBottom w:val="0"/>
      <w:divBdr>
        <w:top w:val="none" w:sz="0" w:space="0" w:color="auto"/>
        <w:left w:val="none" w:sz="0" w:space="0" w:color="auto"/>
        <w:bottom w:val="none" w:sz="0" w:space="0" w:color="auto"/>
        <w:right w:val="none" w:sz="0" w:space="0" w:color="auto"/>
      </w:divBdr>
    </w:div>
    <w:div w:id="796294657">
      <w:bodyDiv w:val="1"/>
      <w:marLeft w:val="0"/>
      <w:marRight w:val="0"/>
      <w:marTop w:val="0"/>
      <w:marBottom w:val="0"/>
      <w:divBdr>
        <w:top w:val="none" w:sz="0" w:space="0" w:color="auto"/>
        <w:left w:val="none" w:sz="0" w:space="0" w:color="auto"/>
        <w:bottom w:val="none" w:sz="0" w:space="0" w:color="auto"/>
        <w:right w:val="none" w:sz="0" w:space="0" w:color="auto"/>
      </w:divBdr>
    </w:div>
    <w:div w:id="802817393">
      <w:bodyDiv w:val="1"/>
      <w:marLeft w:val="0"/>
      <w:marRight w:val="0"/>
      <w:marTop w:val="0"/>
      <w:marBottom w:val="0"/>
      <w:divBdr>
        <w:top w:val="none" w:sz="0" w:space="0" w:color="auto"/>
        <w:left w:val="none" w:sz="0" w:space="0" w:color="auto"/>
        <w:bottom w:val="none" w:sz="0" w:space="0" w:color="auto"/>
        <w:right w:val="none" w:sz="0" w:space="0" w:color="auto"/>
      </w:divBdr>
    </w:div>
    <w:div w:id="803276120">
      <w:bodyDiv w:val="1"/>
      <w:marLeft w:val="0"/>
      <w:marRight w:val="0"/>
      <w:marTop w:val="0"/>
      <w:marBottom w:val="0"/>
      <w:divBdr>
        <w:top w:val="none" w:sz="0" w:space="0" w:color="auto"/>
        <w:left w:val="none" w:sz="0" w:space="0" w:color="auto"/>
        <w:bottom w:val="none" w:sz="0" w:space="0" w:color="auto"/>
        <w:right w:val="none" w:sz="0" w:space="0" w:color="auto"/>
      </w:divBdr>
    </w:div>
    <w:div w:id="808283987">
      <w:bodyDiv w:val="1"/>
      <w:marLeft w:val="0"/>
      <w:marRight w:val="0"/>
      <w:marTop w:val="0"/>
      <w:marBottom w:val="0"/>
      <w:divBdr>
        <w:top w:val="none" w:sz="0" w:space="0" w:color="auto"/>
        <w:left w:val="none" w:sz="0" w:space="0" w:color="auto"/>
        <w:bottom w:val="none" w:sz="0" w:space="0" w:color="auto"/>
        <w:right w:val="none" w:sz="0" w:space="0" w:color="auto"/>
      </w:divBdr>
    </w:div>
    <w:div w:id="811603304">
      <w:bodyDiv w:val="1"/>
      <w:marLeft w:val="0"/>
      <w:marRight w:val="0"/>
      <w:marTop w:val="0"/>
      <w:marBottom w:val="0"/>
      <w:divBdr>
        <w:top w:val="none" w:sz="0" w:space="0" w:color="auto"/>
        <w:left w:val="none" w:sz="0" w:space="0" w:color="auto"/>
        <w:bottom w:val="none" w:sz="0" w:space="0" w:color="auto"/>
        <w:right w:val="none" w:sz="0" w:space="0" w:color="auto"/>
      </w:divBdr>
    </w:div>
    <w:div w:id="820005498">
      <w:bodyDiv w:val="1"/>
      <w:marLeft w:val="0"/>
      <w:marRight w:val="0"/>
      <w:marTop w:val="0"/>
      <w:marBottom w:val="0"/>
      <w:divBdr>
        <w:top w:val="none" w:sz="0" w:space="0" w:color="auto"/>
        <w:left w:val="none" w:sz="0" w:space="0" w:color="auto"/>
        <w:bottom w:val="none" w:sz="0" w:space="0" w:color="auto"/>
        <w:right w:val="none" w:sz="0" w:space="0" w:color="auto"/>
      </w:divBdr>
    </w:div>
    <w:div w:id="821582266">
      <w:bodyDiv w:val="1"/>
      <w:marLeft w:val="0"/>
      <w:marRight w:val="0"/>
      <w:marTop w:val="0"/>
      <w:marBottom w:val="0"/>
      <w:divBdr>
        <w:top w:val="none" w:sz="0" w:space="0" w:color="auto"/>
        <w:left w:val="none" w:sz="0" w:space="0" w:color="auto"/>
        <w:bottom w:val="none" w:sz="0" w:space="0" w:color="auto"/>
        <w:right w:val="none" w:sz="0" w:space="0" w:color="auto"/>
      </w:divBdr>
    </w:div>
    <w:div w:id="824395877">
      <w:bodyDiv w:val="1"/>
      <w:marLeft w:val="0"/>
      <w:marRight w:val="0"/>
      <w:marTop w:val="0"/>
      <w:marBottom w:val="0"/>
      <w:divBdr>
        <w:top w:val="none" w:sz="0" w:space="0" w:color="auto"/>
        <w:left w:val="none" w:sz="0" w:space="0" w:color="auto"/>
        <w:bottom w:val="none" w:sz="0" w:space="0" w:color="auto"/>
        <w:right w:val="none" w:sz="0" w:space="0" w:color="auto"/>
      </w:divBdr>
    </w:div>
    <w:div w:id="827090565">
      <w:bodyDiv w:val="1"/>
      <w:marLeft w:val="0"/>
      <w:marRight w:val="0"/>
      <w:marTop w:val="0"/>
      <w:marBottom w:val="0"/>
      <w:divBdr>
        <w:top w:val="none" w:sz="0" w:space="0" w:color="auto"/>
        <w:left w:val="none" w:sz="0" w:space="0" w:color="auto"/>
        <w:bottom w:val="none" w:sz="0" w:space="0" w:color="auto"/>
        <w:right w:val="none" w:sz="0" w:space="0" w:color="auto"/>
      </w:divBdr>
    </w:div>
    <w:div w:id="830609080">
      <w:bodyDiv w:val="1"/>
      <w:marLeft w:val="0"/>
      <w:marRight w:val="0"/>
      <w:marTop w:val="0"/>
      <w:marBottom w:val="0"/>
      <w:divBdr>
        <w:top w:val="none" w:sz="0" w:space="0" w:color="auto"/>
        <w:left w:val="none" w:sz="0" w:space="0" w:color="auto"/>
        <w:bottom w:val="none" w:sz="0" w:space="0" w:color="auto"/>
        <w:right w:val="none" w:sz="0" w:space="0" w:color="auto"/>
      </w:divBdr>
    </w:div>
    <w:div w:id="833690746">
      <w:bodyDiv w:val="1"/>
      <w:marLeft w:val="0"/>
      <w:marRight w:val="0"/>
      <w:marTop w:val="0"/>
      <w:marBottom w:val="0"/>
      <w:divBdr>
        <w:top w:val="none" w:sz="0" w:space="0" w:color="auto"/>
        <w:left w:val="none" w:sz="0" w:space="0" w:color="auto"/>
        <w:bottom w:val="none" w:sz="0" w:space="0" w:color="auto"/>
        <w:right w:val="none" w:sz="0" w:space="0" w:color="auto"/>
      </w:divBdr>
      <w:divsChild>
        <w:div w:id="1033651223">
          <w:marLeft w:val="0"/>
          <w:marRight w:val="0"/>
          <w:marTop w:val="0"/>
          <w:marBottom w:val="0"/>
          <w:divBdr>
            <w:top w:val="none" w:sz="0" w:space="0" w:color="auto"/>
            <w:left w:val="none" w:sz="0" w:space="0" w:color="auto"/>
            <w:bottom w:val="none" w:sz="0" w:space="0" w:color="auto"/>
            <w:right w:val="none" w:sz="0" w:space="0" w:color="auto"/>
          </w:divBdr>
          <w:divsChild>
            <w:div w:id="1897009361">
              <w:marLeft w:val="0"/>
              <w:marRight w:val="0"/>
              <w:marTop w:val="0"/>
              <w:marBottom w:val="0"/>
              <w:divBdr>
                <w:top w:val="none" w:sz="0" w:space="0" w:color="auto"/>
                <w:left w:val="none" w:sz="0" w:space="0" w:color="auto"/>
                <w:bottom w:val="none" w:sz="0" w:space="0" w:color="auto"/>
                <w:right w:val="none" w:sz="0" w:space="0" w:color="auto"/>
              </w:divBdr>
              <w:divsChild>
                <w:div w:id="340550746">
                  <w:marLeft w:val="0"/>
                  <w:marRight w:val="0"/>
                  <w:marTop w:val="0"/>
                  <w:marBottom w:val="0"/>
                  <w:divBdr>
                    <w:top w:val="none" w:sz="0" w:space="0" w:color="auto"/>
                    <w:left w:val="none" w:sz="0" w:space="0" w:color="auto"/>
                    <w:bottom w:val="none" w:sz="0" w:space="0" w:color="auto"/>
                    <w:right w:val="none" w:sz="0" w:space="0" w:color="auto"/>
                  </w:divBdr>
                  <w:divsChild>
                    <w:div w:id="4340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03369">
      <w:bodyDiv w:val="1"/>
      <w:marLeft w:val="0"/>
      <w:marRight w:val="0"/>
      <w:marTop w:val="0"/>
      <w:marBottom w:val="0"/>
      <w:divBdr>
        <w:top w:val="none" w:sz="0" w:space="0" w:color="auto"/>
        <w:left w:val="none" w:sz="0" w:space="0" w:color="auto"/>
        <w:bottom w:val="none" w:sz="0" w:space="0" w:color="auto"/>
        <w:right w:val="none" w:sz="0" w:space="0" w:color="auto"/>
      </w:divBdr>
    </w:div>
    <w:div w:id="837812681">
      <w:bodyDiv w:val="1"/>
      <w:marLeft w:val="0"/>
      <w:marRight w:val="0"/>
      <w:marTop w:val="0"/>
      <w:marBottom w:val="0"/>
      <w:divBdr>
        <w:top w:val="none" w:sz="0" w:space="0" w:color="auto"/>
        <w:left w:val="none" w:sz="0" w:space="0" w:color="auto"/>
        <w:bottom w:val="none" w:sz="0" w:space="0" w:color="auto"/>
        <w:right w:val="none" w:sz="0" w:space="0" w:color="auto"/>
      </w:divBdr>
    </w:div>
    <w:div w:id="854540159">
      <w:bodyDiv w:val="1"/>
      <w:marLeft w:val="0"/>
      <w:marRight w:val="0"/>
      <w:marTop w:val="0"/>
      <w:marBottom w:val="0"/>
      <w:divBdr>
        <w:top w:val="none" w:sz="0" w:space="0" w:color="auto"/>
        <w:left w:val="none" w:sz="0" w:space="0" w:color="auto"/>
        <w:bottom w:val="none" w:sz="0" w:space="0" w:color="auto"/>
        <w:right w:val="none" w:sz="0" w:space="0" w:color="auto"/>
      </w:divBdr>
      <w:divsChild>
        <w:div w:id="140273273">
          <w:marLeft w:val="288"/>
          <w:marRight w:val="0"/>
          <w:marTop w:val="40"/>
          <w:marBottom w:val="0"/>
          <w:divBdr>
            <w:top w:val="none" w:sz="0" w:space="0" w:color="auto"/>
            <w:left w:val="none" w:sz="0" w:space="0" w:color="auto"/>
            <w:bottom w:val="none" w:sz="0" w:space="0" w:color="auto"/>
            <w:right w:val="none" w:sz="0" w:space="0" w:color="auto"/>
          </w:divBdr>
        </w:div>
        <w:div w:id="1148323745">
          <w:marLeft w:val="288"/>
          <w:marRight w:val="0"/>
          <w:marTop w:val="40"/>
          <w:marBottom w:val="0"/>
          <w:divBdr>
            <w:top w:val="none" w:sz="0" w:space="0" w:color="auto"/>
            <w:left w:val="none" w:sz="0" w:space="0" w:color="auto"/>
            <w:bottom w:val="none" w:sz="0" w:space="0" w:color="auto"/>
            <w:right w:val="none" w:sz="0" w:space="0" w:color="auto"/>
          </w:divBdr>
        </w:div>
        <w:div w:id="1211769435">
          <w:marLeft w:val="288"/>
          <w:marRight w:val="0"/>
          <w:marTop w:val="40"/>
          <w:marBottom w:val="0"/>
          <w:divBdr>
            <w:top w:val="none" w:sz="0" w:space="0" w:color="auto"/>
            <w:left w:val="none" w:sz="0" w:space="0" w:color="auto"/>
            <w:bottom w:val="none" w:sz="0" w:space="0" w:color="auto"/>
            <w:right w:val="none" w:sz="0" w:space="0" w:color="auto"/>
          </w:divBdr>
        </w:div>
      </w:divsChild>
    </w:div>
    <w:div w:id="855728989">
      <w:bodyDiv w:val="1"/>
      <w:marLeft w:val="0"/>
      <w:marRight w:val="0"/>
      <w:marTop w:val="0"/>
      <w:marBottom w:val="0"/>
      <w:divBdr>
        <w:top w:val="none" w:sz="0" w:space="0" w:color="auto"/>
        <w:left w:val="none" w:sz="0" w:space="0" w:color="auto"/>
        <w:bottom w:val="none" w:sz="0" w:space="0" w:color="auto"/>
        <w:right w:val="none" w:sz="0" w:space="0" w:color="auto"/>
      </w:divBdr>
    </w:div>
    <w:div w:id="857154908">
      <w:bodyDiv w:val="1"/>
      <w:marLeft w:val="0"/>
      <w:marRight w:val="0"/>
      <w:marTop w:val="0"/>
      <w:marBottom w:val="0"/>
      <w:divBdr>
        <w:top w:val="none" w:sz="0" w:space="0" w:color="auto"/>
        <w:left w:val="none" w:sz="0" w:space="0" w:color="auto"/>
        <w:bottom w:val="none" w:sz="0" w:space="0" w:color="auto"/>
        <w:right w:val="none" w:sz="0" w:space="0" w:color="auto"/>
      </w:divBdr>
    </w:div>
    <w:div w:id="866912071">
      <w:bodyDiv w:val="1"/>
      <w:marLeft w:val="0"/>
      <w:marRight w:val="0"/>
      <w:marTop w:val="0"/>
      <w:marBottom w:val="0"/>
      <w:divBdr>
        <w:top w:val="none" w:sz="0" w:space="0" w:color="auto"/>
        <w:left w:val="none" w:sz="0" w:space="0" w:color="auto"/>
        <w:bottom w:val="none" w:sz="0" w:space="0" w:color="auto"/>
        <w:right w:val="none" w:sz="0" w:space="0" w:color="auto"/>
      </w:divBdr>
    </w:div>
    <w:div w:id="867647530">
      <w:bodyDiv w:val="1"/>
      <w:marLeft w:val="0"/>
      <w:marRight w:val="0"/>
      <w:marTop w:val="0"/>
      <w:marBottom w:val="0"/>
      <w:divBdr>
        <w:top w:val="none" w:sz="0" w:space="0" w:color="auto"/>
        <w:left w:val="none" w:sz="0" w:space="0" w:color="auto"/>
        <w:bottom w:val="none" w:sz="0" w:space="0" w:color="auto"/>
        <w:right w:val="none" w:sz="0" w:space="0" w:color="auto"/>
      </w:divBdr>
    </w:div>
    <w:div w:id="869100501">
      <w:bodyDiv w:val="1"/>
      <w:marLeft w:val="0"/>
      <w:marRight w:val="0"/>
      <w:marTop w:val="0"/>
      <w:marBottom w:val="0"/>
      <w:divBdr>
        <w:top w:val="none" w:sz="0" w:space="0" w:color="auto"/>
        <w:left w:val="none" w:sz="0" w:space="0" w:color="auto"/>
        <w:bottom w:val="none" w:sz="0" w:space="0" w:color="auto"/>
        <w:right w:val="none" w:sz="0" w:space="0" w:color="auto"/>
      </w:divBdr>
    </w:div>
    <w:div w:id="871183802">
      <w:bodyDiv w:val="1"/>
      <w:marLeft w:val="0"/>
      <w:marRight w:val="0"/>
      <w:marTop w:val="0"/>
      <w:marBottom w:val="0"/>
      <w:divBdr>
        <w:top w:val="none" w:sz="0" w:space="0" w:color="auto"/>
        <w:left w:val="none" w:sz="0" w:space="0" w:color="auto"/>
        <w:bottom w:val="none" w:sz="0" w:space="0" w:color="auto"/>
        <w:right w:val="none" w:sz="0" w:space="0" w:color="auto"/>
      </w:divBdr>
      <w:divsChild>
        <w:div w:id="1530222995">
          <w:marLeft w:val="288"/>
          <w:marRight w:val="0"/>
          <w:marTop w:val="40"/>
          <w:marBottom w:val="0"/>
          <w:divBdr>
            <w:top w:val="none" w:sz="0" w:space="0" w:color="auto"/>
            <w:left w:val="none" w:sz="0" w:space="0" w:color="auto"/>
            <w:bottom w:val="none" w:sz="0" w:space="0" w:color="auto"/>
            <w:right w:val="none" w:sz="0" w:space="0" w:color="auto"/>
          </w:divBdr>
        </w:div>
        <w:div w:id="1919709403">
          <w:marLeft w:val="1008"/>
          <w:marRight w:val="0"/>
          <w:marTop w:val="40"/>
          <w:marBottom w:val="0"/>
          <w:divBdr>
            <w:top w:val="none" w:sz="0" w:space="0" w:color="auto"/>
            <w:left w:val="none" w:sz="0" w:space="0" w:color="auto"/>
            <w:bottom w:val="none" w:sz="0" w:space="0" w:color="auto"/>
            <w:right w:val="none" w:sz="0" w:space="0" w:color="auto"/>
          </w:divBdr>
        </w:div>
        <w:div w:id="1983464557">
          <w:marLeft w:val="1008"/>
          <w:marRight w:val="0"/>
          <w:marTop w:val="40"/>
          <w:marBottom w:val="0"/>
          <w:divBdr>
            <w:top w:val="none" w:sz="0" w:space="0" w:color="auto"/>
            <w:left w:val="none" w:sz="0" w:space="0" w:color="auto"/>
            <w:bottom w:val="none" w:sz="0" w:space="0" w:color="auto"/>
            <w:right w:val="none" w:sz="0" w:space="0" w:color="auto"/>
          </w:divBdr>
        </w:div>
      </w:divsChild>
    </w:div>
    <w:div w:id="871915629">
      <w:bodyDiv w:val="1"/>
      <w:marLeft w:val="0"/>
      <w:marRight w:val="0"/>
      <w:marTop w:val="0"/>
      <w:marBottom w:val="0"/>
      <w:divBdr>
        <w:top w:val="none" w:sz="0" w:space="0" w:color="auto"/>
        <w:left w:val="none" w:sz="0" w:space="0" w:color="auto"/>
        <w:bottom w:val="none" w:sz="0" w:space="0" w:color="auto"/>
        <w:right w:val="none" w:sz="0" w:space="0" w:color="auto"/>
      </w:divBdr>
    </w:div>
    <w:div w:id="873232855">
      <w:bodyDiv w:val="1"/>
      <w:marLeft w:val="0"/>
      <w:marRight w:val="0"/>
      <w:marTop w:val="0"/>
      <w:marBottom w:val="0"/>
      <w:divBdr>
        <w:top w:val="none" w:sz="0" w:space="0" w:color="auto"/>
        <w:left w:val="none" w:sz="0" w:space="0" w:color="auto"/>
        <w:bottom w:val="none" w:sz="0" w:space="0" w:color="auto"/>
        <w:right w:val="none" w:sz="0" w:space="0" w:color="auto"/>
      </w:divBdr>
    </w:div>
    <w:div w:id="873735540">
      <w:bodyDiv w:val="1"/>
      <w:marLeft w:val="0"/>
      <w:marRight w:val="0"/>
      <w:marTop w:val="0"/>
      <w:marBottom w:val="0"/>
      <w:divBdr>
        <w:top w:val="none" w:sz="0" w:space="0" w:color="auto"/>
        <w:left w:val="none" w:sz="0" w:space="0" w:color="auto"/>
        <w:bottom w:val="none" w:sz="0" w:space="0" w:color="auto"/>
        <w:right w:val="none" w:sz="0" w:space="0" w:color="auto"/>
      </w:divBdr>
    </w:div>
    <w:div w:id="874997702">
      <w:bodyDiv w:val="1"/>
      <w:marLeft w:val="0"/>
      <w:marRight w:val="0"/>
      <w:marTop w:val="0"/>
      <w:marBottom w:val="0"/>
      <w:divBdr>
        <w:top w:val="none" w:sz="0" w:space="0" w:color="auto"/>
        <w:left w:val="none" w:sz="0" w:space="0" w:color="auto"/>
        <w:bottom w:val="none" w:sz="0" w:space="0" w:color="auto"/>
        <w:right w:val="none" w:sz="0" w:space="0" w:color="auto"/>
      </w:divBdr>
    </w:div>
    <w:div w:id="883636867">
      <w:bodyDiv w:val="1"/>
      <w:marLeft w:val="0"/>
      <w:marRight w:val="0"/>
      <w:marTop w:val="0"/>
      <w:marBottom w:val="0"/>
      <w:divBdr>
        <w:top w:val="none" w:sz="0" w:space="0" w:color="auto"/>
        <w:left w:val="none" w:sz="0" w:space="0" w:color="auto"/>
        <w:bottom w:val="none" w:sz="0" w:space="0" w:color="auto"/>
        <w:right w:val="none" w:sz="0" w:space="0" w:color="auto"/>
      </w:divBdr>
    </w:div>
    <w:div w:id="888803841">
      <w:bodyDiv w:val="1"/>
      <w:marLeft w:val="0"/>
      <w:marRight w:val="0"/>
      <w:marTop w:val="0"/>
      <w:marBottom w:val="0"/>
      <w:divBdr>
        <w:top w:val="none" w:sz="0" w:space="0" w:color="auto"/>
        <w:left w:val="none" w:sz="0" w:space="0" w:color="auto"/>
        <w:bottom w:val="none" w:sz="0" w:space="0" w:color="auto"/>
        <w:right w:val="none" w:sz="0" w:space="0" w:color="auto"/>
      </w:divBdr>
    </w:div>
    <w:div w:id="893781794">
      <w:bodyDiv w:val="1"/>
      <w:marLeft w:val="0"/>
      <w:marRight w:val="0"/>
      <w:marTop w:val="0"/>
      <w:marBottom w:val="0"/>
      <w:divBdr>
        <w:top w:val="none" w:sz="0" w:space="0" w:color="auto"/>
        <w:left w:val="none" w:sz="0" w:space="0" w:color="auto"/>
        <w:bottom w:val="none" w:sz="0" w:space="0" w:color="auto"/>
        <w:right w:val="none" w:sz="0" w:space="0" w:color="auto"/>
      </w:divBdr>
      <w:divsChild>
        <w:div w:id="1708602036">
          <w:marLeft w:val="0"/>
          <w:marRight w:val="0"/>
          <w:marTop w:val="0"/>
          <w:marBottom w:val="0"/>
          <w:divBdr>
            <w:top w:val="none" w:sz="0" w:space="0" w:color="auto"/>
            <w:left w:val="none" w:sz="0" w:space="0" w:color="auto"/>
            <w:bottom w:val="none" w:sz="0" w:space="0" w:color="auto"/>
            <w:right w:val="none" w:sz="0" w:space="0" w:color="auto"/>
          </w:divBdr>
          <w:divsChild>
            <w:div w:id="1812288093">
              <w:marLeft w:val="0"/>
              <w:marRight w:val="0"/>
              <w:marTop w:val="0"/>
              <w:marBottom w:val="0"/>
              <w:divBdr>
                <w:top w:val="none" w:sz="0" w:space="0" w:color="auto"/>
                <w:left w:val="none" w:sz="0" w:space="0" w:color="auto"/>
                <w:bottom w:val="none" w:sz="0" w:space="0" w:color="auto"/>
                <w:right w:val="none" w:sz="0" w:space="0" w:color="auto"/>
              </w:divBdr>
              <w:divsChild>
                <w:div w:id="423108676">
                  <w:marLeft w:val="0"/>
                  <w:marRight w:val="0"/>
                  <w:marTop w:val="0"/>
                  <w:marBottom w:val="0"/>
                  <w:divBdr>
                    <w:top w:val="none" w:sz="0" w:space="0" w:color="auto"/>
                    <w:left w:val="none" w:sz="0" w:space="0" w:color="auto"/>
                    <w:bottom w:val="none" w:sz="0" w:space="0" w:color="auto"/>
                    <w:right w:val="none" w:sz="0" w:space="0" w:color="auto"/>
                  </w:divBdr>
                  <w:divsChild>
                    <w:div w:id="162492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54232">
      <w:bodyDiv w:val="1"/>
      <w:marLeft w:val="0"/>
      <w:marRight w:val="0"/>
      <w:marTop w:val="0"/>
      <w:marBottom w:val="0"/>
      <w:divBdr>
        <w:top w:val="none" w:sz="0" w:space="0" w:color="auto"/>
        <w:left w:val="none" w:sz="0" w:space="0" w:color="auto"/>
        <w:bottom w:val="none" w:sz="0" w:space="0" w:color="auto"/>
        <w:right w:val="none" w:sz="0" w:space="0" w:color="auto"/>
      </w:divBdr>
    </w:div>
    <w:div w:id="900674346">
      <w:bodyDiv w:val="1"/>
      <w:marLeft w:val="0"/>
      <w:marRight w:val="0"/>
      <w:marTop w:val="0"/>
      <w:marBottom w:val="0"/>
      <w:divBdr>
        <w:top w:val="none" w:sz="0" w:space="0" w:color="auto"/>
        <w:left w:val="none" w:sz="0" w:space="0" w:color="auto"/>
        <w:bottom w:val="none" w:sz="0" w:space="0" w:color="auto"/>
        <w:right w:val="none" w:sz="0" w:space="0" w:color="auto"/>
      </w:divBdr>
    </w:div>
    <w:div w:id="903415844">
      <w:bodyDiv w:val="1"/>
      <w:marLeft w:val="0"/>
      <w:marRight w:val="0"/>
      <w:marTop w:val="0"/>
      <w:marBottom w:val="0"/>
      <w:divBdr>
        <w:top w:val="none" w:sz="0" w:space="0" w:color="auto"/>
        <w:left w:val="none" w:sz="0" w:space="0" w:color="auto"/>
        <w:bottom w:val="none" w:sz="0" w:space="0" w:color="auto"/>
        <w:right w:val="none" w:sz="0" w:space="0" w:color="auto"/>
      </w:divBdr>
    </w:div>
    <w:div w:id="915626817">
      <w:bodyDiv w:val="1"/>
      <w:marLeft w:val="0"/>
      <w:marRight w:val="0"/>
      <w:marTop w:val="0"/>
      <w:marBottom w:val="0"/>
      <w:divBdr>
        <w:top w:val="none" w:sz="0" w:space="0" w:color="auto"/>
        <w:left w:val="none" w:sz="0" w:space="0" w:color="auto"/>
        <w:bottom w:val="none" w:sz="0" w:space="0" w:color="auto"/>
        <w:right w:val="none" w:sz="0" w:space="0" w:color="auto"/>
      </w:divBdr>
    </w:div>
    <w:div w:id="926382409">
      <w:bodyDiv w:val="1"/>
      <w:marLeft w:val="0"/>
      <w:marRight w:val="0"/>
      <w:marTop w:val="0"/>
      <w:marBottom w:val="0"/>
      <w:divBdr>
        <w:top w:val="none" w:sz="0" w:space="0" w:color="auto"/>
        <w:left w:val="none" w:sz="0" w:space="0" w:color="auto"/>
        <w:bottom w:val="none" w:sz="0" w:space="0" w:color="auto"/>
        <w:right w:val="none" w:sz="0" w:space="0" w:color="auto"/>
      </w:divBdr>
    </w:div>
    <w:div w:id="928852730">
      <w:bodyDiv w:val="1"/>
      <w:marLeft w:val="0"/>
      <w:marRight w:val="0"/>
      <w:marTop w:val="0"/>
      <w:marBottom w:val="0"/>
      <w:divBdr>
        <w:top w:val="none" w:sz="0" w:space="0" w:color="auto"/>
        <w:left w:val="none" w:sz="0" w:space="0" w:color="auto"/>
        <w:bottom w:val="none" w:sz="0" w:space="0" w:color="auto"/>
        <w:right w:val="none" w:sz="0" w:space="0" w:color="auto"/>
      </w:divBdr>
    </w:div>
    <w:div w:id="934753948">
      <w:bodyDiv w:val="1"/>
      <w:marLeft w:val="0"/>
      <w:marRight w:val="0"/>
      <w:marTop w:val="0"/>
      <w:marBottom w:val="0"/>
      <w:divBdr>
        <w:top w:val="none" w:sz="0" w:space="0" w:color="auto"/>
        <w:left w:val="none" w:sz="0" w:space="0" w:color="auto"/>
        <w:bottom w:val="none" w:sz="0" w:space="0" w:color="auto"/>
        <w:right w:val="none" w:sz="0" w:space="0" w:color="auto"/>
      </w:divBdr>
    </w:div>
    <w:div w:id="938877166">
      <w:bodyDiv w:val="1"/>
      <w:marLeft w:val="0"/>
      <w:marRight w:val="0"/>
      <w:marTop w:val="0"/>
      <w:marBottom w:val="0"/>
      <w:divBdr>
        <w:top w:val="none" w:sz="0" w:space="0" w:color="auto"/>
        <w:left w:val="none" w:sz="0" w:space="0" w:color="auto"/>
        <w:bottom w:val="none" w:sz="0" w:space="0" w:color="auto"/>
        <w:right w:val="none" w:sz="0" w:space="0" w:color="auto"/>
      </w:divBdr>
    </w:div>
    <w:div w:id="939067798">
      <w:bodyDiv w:val="1"/>
      <w:marLeft w:val="0"/>
      <w:marRight w:val="0"/>
      <w:marTop w:val="0"/>
      <w:marBottom w:val="0"/>
      <w:divBdr>
        <w:top w:val="none" w:sz="0" w:space="0" w:color="auto"/>
        <w:left w:val="none" w:sz="0" w:space="0" w:color="auto"/>
        <w:bottom w:val="none" w:sz="0" w:space="0" w:color="auto"/>
        <w:right w:val="none" w:sz="0" w:space="0" w:color="auto"/>
      </w:divBdr>
    </w:div>
    <w:div w:id="939797175">
      <w:bodyDiv w:val="1"/>
      <w:marLeft w:val="0"/>
      <w:marRight w:val="0"/>
      <w:marTop w:val="0"/>
      <w:marBottom w:val="0"/>
      <w:divBdr>
        <w:top w:val="none" w:sz="0" w:space="0" w:color="auto"/>
        <w:left w:val="none" w:sz="0" w:space="0" w:color="auto"/>
        <w:bottom w:val="none" w:sz="0" w:space="0" w:color="auto"/>
        <w:right w:val="none" w:sz="0" w:space="0" w:color="auto"/>
      </w:divBdr>
    </w:div>
    <w:div w:id="941836574">
      <w:bodyDiv w:val="1"/>
      <w:marLeft w:val="0"/>
      <w:marRight w:val="0"/>
      <w:marTop w:val="0"/>
      <w:marBottom w:val="0"/>
      <w:divBdr>
        <w:top w:val="none" w:sz="0" w:space="0" w:color="auto"/>
        <w:left w:val="none" w:sz="0" w:space="0" w:color="auto"/>
        <w:bottom w:val="none" w:sz="0" w:space="0" w:color="auto"/>
        <w:right w:val="none" w:sz="0" w:space="0" w:color="auto"/>
      </w:divBdr>
    </w:div>
    <w:div w:id="946815302">
      <w:bodyDiv w:val="1"/>
      <w:marLeft w:val="0"/>
      <w:marRight w:val="0"/>
      <w:marTop w:val="0"/>
      <w:marBottom w:val="0"/>
      <w:divBdr>
        <w:top w:val="none" w:sz="0" w:space="0" w:color="auto"/>
        <w:left w:val="none" w:sz="0" w:space="0" w:color="auto"/>
        <w:bottom w:val="none" w:sz="0" w:space="0" w:color="auto"/>
        <w:right w:val="none" w:sz="0" w:space="0" w:color="auto"/>
      </w:divBdr>
    </w:div>
    <w:div w:id="948314327">
      <w:bodyDiv w:val="1"/>
      <w:marLeft w:val="0"/>
      <w:marRight w:val="0"/>
      <w:marTop w:val="0"/>
      <w:marBottom w:val="0"/>
      <w:divBdr>
        <w:top w:val="none" w:sz="0" w:space="0" w:color="auto"/>
        <w:left w:val="none" w:sz="0" w:space="0" w:color="auto"/>
        <w:bottom w:val="none" w:sz="0" w:space="0" w:color="auto"/>
        <w:right w:val="none" w:sz="0" w:space="0" w:color="auto"/>
      </w:divBdr>
    </w:div>
    <w:div w:id="953630482">
      <w:bodyDiv w:val="1"/>
      <w:marLeft w:val="0"/>
      <w:marRight w:val="0"/>
      <w:marTop w:val="0"/>
      <w:marBottom w:val="0"/>
      <w:divBdr>
        <w:top w:val="none" w:sz="0" w:space="0" w:color="auto"/>
        <w:left w:val="none" w:sz="0" w:space="0" w:color="auto"/>
        <w:bottom w:val="none" w:sz="0" w:space="0" w:color="auto"/>
        <w:right w:val="none" w:sz="0" w:space="0" w:color="auto"/>
      </w:divBdr>
      <w:divsChild>
        <w:div w:id="1014919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9334555">
      <w:bodyDiv w:val="1"/>
      <w:marLeft w:val="0"/>
      <w:marRight w:val="0"/>
      <w:marTop w:val="0"/>
      <w:marBottom w:val="0"/>
      <w:divBdr>
        <w:top w:val="none" w:sz="0" w:space="0" w:color="auto"/>
        <w:left w:val="none" w:sz="0" w:space="0" w:color="auto"/>
        <w:bottom w:val="none" w:sz="0" w:space="0" w:color="auto"/>
        <w:right w:val="none" w:sz="0" w:space="0" w:color="auto"/>
      </w:divBdr>
    </w:div>
    <w:div w:id="959649061">
      <w:bodyDiv w:val="1"/>
      <w:marLeft w:val="0"/>
      <w:marRight w:val="0"/>
      <w:marTop w:val="0"/>
      <w:marBottom w:val="0"/>
      <w:divBdr>
        <w:top w:val="none" w:sz="0" w:space="0" w:color="auto"/>
        <w:left w:val="none" w:sz="0" w:space="0" w:color="auto"/>
        <w:bottom w:val="none" w:sz="0" w:space="0" w:color="auto"/>
        <w:right w:val="none" w:sz="0" w:space="0" w:color="auto"/>
      </w:divBdr>
    </w:div>
    <w:div w:id="976302164">
      <w:bodyDiv w:val="1"/>
      <w:marLeft w:val="0"/>
      <w:marRight w:val="0"/>
      <w:marTop w:val="0"/>
      <w:marBottom w:val="0"/>
      <w:divBdr>
        <w:top w:val="none" w:sz="0" w:space="0" w:color="auto"/>
        <w:left w:val="none" w:sz="0" w:space="0" w:color="auto"/>
        <w:bottom w:val="none" w:sz="0" w:space="0" w:color="auto"/>
        <w:right w:val="none" w:sz="0" w:space="0" w:color="auto"/>
      </w:divBdr>
    </w:div>
    <w:div w:id="976687969">
      <w:bodyDiv w:val="1"/>
      <w:marLeft w:val="0"/>
      <w:marRight w:val="0"/>
      <w:marTop w:val="0"/>
      <w:marBottom w:val="0"/>
      <w:divBdr>
        <w:top w:val="none" w:sz="0" w:space="0" w:color="auto"/>
        <w:left w:val="none" w:sz="0" w:space="0" w:color="auto"/>
        <w:bottom w:val="none" w:sz="0" w:space="0" w:color="auto"/>
        <w:right w:val="none" w:sz="0" w:space="0" w:color="auto"/>
      </w:divBdr>
    </w:div>
    <w:div w:id="977417154">
      <w:bodyDiv w:val="1"/>
      <w:marLeft w:val="0"/>
      <w:marRight w:val="0"/>
      <w:marTop w:val="0"/>
      <w:marBottom w:val="0"/>
      <w:divBdr>
        <w:top w:val="none" w:sz="0" w:space="0" w:color="auto"/>
        <w:left w:val="none" w:sz="0" w:space="0" w:color="auto"/>
        <w:bottom w:val="none" w:sz="0" w:space="0" w:color="auto"/>
        <w:right w:val="none" w:sz="0" w:space="0" w:color="auto"/>
      </w:divBdr>
    </w:div>
    <w:div w:id="977763537">
      <w:bodyDiv w:val="1"/>
      <w:marLeft w:val="0"/>
      <w:marRight w:val="0"/>
      <w:marTop w:val="0"/>
      <w:marBottom w:val="0"/>
      <w:divBdr>
        <w:top w:val="none" w:sz="0" w:space="0" w:color="auto"/>
        <w:left w:val="none" w:sz="0" w:space="0" w:color="auto"/>
        <w:bottom w:val="none" w:sz="0" w:space="0" w:color="auto"/>
        <w:right w:val="none" w:sz="0" w:space="0" w:color="auto"/>
      </w:divBdr>
      <w:divsChild>
        <w:div w:id="1413241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5014508">
      <w:bodyDiv w:val="1"/>
      <w:marLeft w:val="0"/>
      <w:marRight w:val="0"/>
      <w:marTop w:val="0"/>
      <w:marBottom w:val="0"/>
      <w:divBdr>
        <w:top w:val="none" w:sz="0" w:space="0" w:color="auto"/>
        <w:left w:val="none" w:sz="0" w:space="0" w:color="auto"/>
        <w:bottom w:val="none" w:sz="0" w:space="0" w:color="auto"/>
        <w:right w:val="none" w:sz="0" w:space="0" w:color="auto"/>
      </w:divBdr>
    </w:div>
    <w:div w:id="987981244">
      <w:bodyDiv w:val="1"/>
      <w:marLeft w:val="0"/>
      <w:marRight w:val="0"/>
      <w:marTop w:val="0"/>
      <w:marBottom w:val="0"/>
      <w:divBdr>
        <w:top w:val="none" w:sz="0" w:space="0" w:color="auto"/>
        <w:left w:val="none" w:sz="0" w:space="0" w:color="auto"/>
        <w:bottom w:val="none" w:sz="0" w:space="0" w:color="auto"/>
        <w:right w:val="none" w:sz="0" w:space="0" w:color="auto"/>
      </w:divBdr>
    </w:div>
    <w:div w:id="988020803">
      <w:bodyDiv w:val="1"/>
      <w:marLeft w:val="0"/>
      <w:marRight w:val="0"/>
      <w:marTop w:val="0"/>
      <w:marBottom w:val="0"/>
      <w:divBdr>
        <w:top w:val="none" w:sz="0" w:space="0" w:color="auto"/>
        <w:left w:val="none" w:sz="0" w:space="0" w:color="auto"/>
        <w:bottom w:val="none" w:sz="0" w:space="0" w:color="auto"/>
        <w:right w:val="none" w:sz="0" w:space="0" w:color="auto"/>
      </w:divBdr>
    </w:div>
    <w:div w:id="993602049">
      <w:bodyDiv w:val="1"/>
      <w:marLeft w:val="0"/>
      <w:marRight w:val="0"/>
      <w:marTop w:val="0"/>
      <w:marBottom w:val="0"/>
      <w:divBdr>
        <w:top w:val="none" w:sz="0" w:space="0" w:color="auto"/>
        <w:left w:val="none" w:sz="0" w:space="0" w:color="auto"/>
        <w:bottom w:val="none" w:sz="0" w:space="0" w:color="auto"/>
        <w:right w:val="none" w:sz="0" w:space="0" w:color="auto"/>
      </w:divBdr>
    </w:div>
    <w:div w:id="996803700">
      <w:bodyDiv w:val="1"/>
      <w:marLeft w:val="0"/>
      <w:marRight w:val="0"/>
      <w:marTop w:val="0"/>
      <w:marBottom w:val="0"/>
      <w:divBdr>
        <w:top w:val="none" w:sz="0" w:space="0" w:color="auto"/>
        <w:left w:val="none" w:sz="0" w:space="0" w:color="auto"/>
        <w:bottom w:val="none" w:sz="0" w:space="0" w:color="auto"/>
        <w:right w:val="none" w:sz="0" w:space="0" w:color="auto"/>
      </w:divBdr>
    </w:div>
    <w:div w:id="998459088">
      <w:bodyDiv w:val="1"/>
      <w:marLeft w:val="0"/>
      <w:marRight w:val="0"/>
      <w:marTop w:val="0"/>
      <w:marBottom w:val="0"/>
      <w:divBdr>
        <w:top w:val="none" w:sz="0" w:space="0" w:color="auto"/>
        <w:left w:val="none" w:sz="0" w:space="0" w:color="auto"/>
        <w:bottom w:val="none" w:sz="0" w:space="0" w:color="auto"/>
        <w:right w:val="none" w:sz="0" w:space="0" w:color="auto"/>
      </w:divBdr>
    </w:div>
    <w:div w:id="1003624208">
      <w:bodyDiv w:val="1"/>
      <w:marLeft w:val="0"/>
      <w:marRight w:val="0"/>
      <w:marTop w:val="0"/>
      <w:marBottom w:val="0"/>
      <w:divBdr>
        <w:top w:val="none" w:sz="0" w:space="0" w:color="auto"/>
        <w:left w:val="none" w:sz="0" w:space="0" w:color="auto"/>
        <w:bottom w:val="none" w:sz="0" w:space="0" w:color="auto"/>
        <w:right w:val="none" w:sz="0" w:space="0" w:color="auto"/>
      </w:divBdr>
      <w:divsChild>
        <w:div w:id="100537977">
          <w:marLeft w:val="0"/>
          <w:marRight w:val="0"/>
          <w:marTop w:val="0"/>
          <w:marBottom w:val="0"/>
          <w:divBdr>
            <w:top w:val="none" w:sz="0" w:space="0" w:color="auto"/>
            <w:left w:val="none" w:sz="0" w:space="0" w:color="auto"/>
            <w:bottom w:val="none" w:sz="0" w:space="0" w:color="auto"/>
            <w:right w:val="none" w:sz="0" w:space="0" w:color="auto"/>
          </w:divBdr>
        </w:div>
        <w:div w:id="840970335">
          <w:marLeft w:val="0"/>
          <w:marRight w:val="0"/>
          <w:marTop w:val="0"/>
          <w:marBottom w:val="0"/>
          <w:divBdr>
            <w:top w:val="none" w:sz="0" w:space="0" w:color="auto"/>
            <w:left w:val="none" w:sz="0" w:space="0" w:color="auto"/>
            <w:bottom w:val="none" w:sz="0" w:space="0" w:color="auto"/>
            <w:right w:val="none" w:sz="0" w:space="0" w:color="auto"/>
          </w:divBdr>
        </w:div>
        <w:div w:id="901597214">
          <w:marLeft w:val="0"/>
          <w:marRight w:val="0"/>
          <w:marTop w:val="0"/>
          <w:marBottom w:val="0"/>
          <w:divBdr>
            <w:top w:val="none" w:sz="0" w:space="0" w:color="auto"/>
            <w:left w:val="none" w:sz="0" w:space="0" w:color="auto"/>
            <w:bottom w:val="none" w:sz="0" w:space="0" w:color="auto"/>
            <w:right w:val="none" w:sz="0" w:space="0" w:color="auto"/>
          </w:divBdr>
        </w:div>
        <w:div w:id="1898780230">
          <w:marLeft w:val="0"/>
          <w:marRight w:val="0"/>
          <w:marTop w:val="0"/>
          <w:marBottom w:val="0"/>
          <w:divBdr>
            <w:top w:val="none" w:sz="0" w:space="0" w:color="auto"/>
            <w:left w:val="none" w:sz="0" w:space="0" w:color="auto"/>
            <w:bottom w:val="none" w:sz="0" w:space="0" w:color="auto"/>
            <w:right w:val="none" w:sz="0" w:space="0" w:color="auto"/>
          </w:divBdr>
        </w:div>
      </w:divsChild>
    </w:div>
    <w:div w:id="1005547851">
      <w:bodyDiv w:val="1"/>
      <w:marLeft w:val="0"/>
      <w:marRight w:val="0"/>
      <w:marTop w:val="0"/>
      <w:marBottom w:val="0"/>
      <w:divBdr>
        <w:top w:val="none" w:sz="0" w:space="0" w:color="auto"/>
        <w:left w:val="none" w:sz="0" w:space="0" w:color="auto"/>
        <w:bottom w:val="none" w:sz="0" w:space="0" w:color="auto"/>
        <w:right w:val="none" w:sz="0" w:space="0" w:color="auto"/>
      </w:divBdr>
    </w:div>
    <w:div w:id="1007445574">
      <w:bodyDiv w:val="1"/>
      <w:marLeft w:val="0"/>
      <w:marRight w:val="0"/>
      <w:marTop w:val="0"/>
      <w:marBottom w:val="0"/>
      <w:divBdr>
        <w:top w:val="none" w:sz="0" w:space="0" w:color="auto"/>
        <w:left w:val="none" w:sz="0" w:space="0" w:color="auto"/>
        <w:bottom w:val="none" w:sz="0" w:space="0" w:color="auto"/>
        <w:right w:val="none" w:sz="0" w:space="0" w:color="auto"/>
      </w:divBdr>
    </w:div>
    <w:div w:id="1010720064">
      <w:bodyDiv w:val="1"/>
      <w:marLeft w:val="0"/>
      <w:marRight w:val="0"/>
      <w:marTop w:val="0"/>
      <w:marBottom w:val="0"/>
      <w:divBdr>
        <w:top w:val="none" w:sz="0" w:space="0" w:color="auto"/>
        <w:left w:val="none" w:sz="0" w:space="0" w:color="auto"/>
        <w:bottom w:val="none" w:sz="0" w:space="0" w:color="auto"/>
        <w:right w:val="none" w:sz="0" w:space="0" w:color="auto"/>
      </w:divBdr>
    </w:div>
    <w:div w:id="1012998959">
      <w:bodyDiv w:val="1"/>
      <w:marLeft w:val="0"/>
      <w:marRight w:val="0"/>
      <w:marTop w:val="0"/>
      <w:marBottom w:val="0"/>
      <w:divBdr>
        <w:top w:val="none" w:sz="0" w:space="0" w:color="auto"/>
        <w:left w:val="none" w:sz="0" w:space="0" w:color="auto"/>
        <w:bottom w:val="none" w:sz="0" w:space="0" w:color="auto"/>
        <w:right w:val="none" w:sz="0" w:space="0" w:color="auto"/>
      </w:divBdr>
    </w:div>
    <w:div w:id="1019771050">
      <w:bodyDiv w:val="1"/>
      <w:marLeft w:val="0"/>
      <w:marRight w:val="0"/>
      <w:marTop w:val="0"/>
      <w:marBottom w:val="0"/>
      <w:divBdr>
        <w:top w:val="none" w:sz="0" w:space="0" w:color="auto"/>
        <w:left w:val="none" w:sz="0" w:space="0" w:color="auto"/>
        <w:bottom w:val="none" w:sz="0" w:space="0" w:color="auto"/>
        <w:right w:val="none" w:sz="0" w:space="0" w:color="auto"/>
      </w:divBdr>
    </w:div>
    <w:div w:id="1027365735">
      <w:bodyDiv w:val="1"/>
      <w:marLeft w:val="0"/>
      <w:marRight w:val="0"/>
      <w:marTop w:val="0"/>
      <w:marBottom w:val="0"/>
      <w:divBdr>
        <w:top w:val="none" w:sz="0" w:space="0" w:color="auto"/>
        <w:left w:val="none" w:sz="0" w:space="0" w:color="auto"/>
        <w:bottom w:val="none" w:sz="0" w:space="0" w:color="auto"/>
        <w:right w:val="none" w:sz="0" w:space="0" w:color="auto"/>
      </w:divBdr>
    </w:div>
    <w:div w:id="1031496899">
      <w:bodyDiv w:val="1"/>
      <w:marLeft w:val="0"/>
      <w:marRight w:val="0"/>
      <w:marTop w:val="0"/>
      <w:marBottom w:val="0"/>
      <w:divBdr>
        <w:top w:val="none" w:sz="0" w:space="0" w:color="auto"/>
        <w:left w:val="none" w:sz="0" w:space="0" w:color="auto"/>
        <w:bottom w:val="none" w:sz="0" w:space="0" w:color="auto"/>
        <w:right w:val="none" w:sz="0" w:space="0" w:color="auto"/>
      </w:divBdr>
    </w:div>
    <w:div w:id="1033578236">
      <w:bodyDiv w:val="1"/>
      <w:marLeft w:val="0"/>
      <w:marRight w:val="0"/>
      <w:marTop w:val="0"/>
      <w:marBottom w:val="0"/>
      <w:divBdr>
        <w:top w:val="none" w:sz="0" w:space="0" w:color="auto"/>
        <w:left w:val="none" w:sz="0" w:space="0" w:color="auto"/>
        <w:bottom w:val="none" w:sz="0" w:space="0" w:color="auto"/>
        <w:right w:val="none" w:sz="0" w:space="0" w:color="auto"/>
      </w:divBdr>
      <w:divsChild>
        <w:div w:id="459349159">
          <w:marLeft w:val="0"/>
          <w:marRight w:val="0"/>
          <w:marTop w:val="0"/>
          <w:marBottom w:val="0"/>
          <w:divBdr>
            <w:top w:val="none" w:sz="0" w:space="0" w:color="auto"/>
            <w:left w:val="none" w:sz="0" w:space="0" w:color="auto"/>
            <w:bottom w:val="none" w:sz="0" w:space="0" w:color="auto"/>
            <w:right w:val="none" w:sz="0" w:space="0" w:color="auto"/>
          </w:divBdr>
          <w:divsChild>
            <w:div w:id="1794591693">
              <w:marLeft w:val="0"/>
              <w:marRight w:val="0"/>
              <w:marTop w:val="0"/>
              <w:marBottom w:val="0"/>
              <w:divBdr>
                <w:top w:val="none" w:sz="0" w:space="0" w:color="auto"/>
                <w:left w:val="none" w:sz="0" w:space="0" w:color="auto"/>
                <w:bottom w:val="none" w:sz="0" w:space="0" w:color="auto"/>
                <w:right w:val="none" w:sz="0" w:space="0" w:color="auto"/>
              </w:divBdr>
              <w:divsChild>
                <w:div w:id="1126436668">
                  <w:marLeft w:val="0"/>
                  <w:marRight w:val="0"/>
                  <w:marTop w:val="0"/>
                  <w:marBottom w:val="0"/>
                  <w:divBdr>
                    <w:top w:val="none" w:sz="0" w:space="0" w:color="auto"/>
                    <w:left w:val="none" w:sz="0" w:space="0" w:color="auto"/>
                    <w:bottom w:val="none" w:sz="0" w:space="0" w:color="auto"/>
                    <w:right w:val="none" w:sz="0" w:space="0" w:color="auto"/>
                  </w:divBdr>
                  <w:divsChild>
                    <w:div w:id="1360738453">
                      <w:marLeft w:val="0"/>
                      <w:marRight w:val="0"/>
                      <w:marTop w:val="0"/>
                      <w:marBottom w:val="0"/>
                      <w:divBdr>
                        <w:top w:val="none" w:sz="0" w:space="0" w:color="auto"/>
                        <w:left w:val="none" w:sz="0" w:space="0" w:color="auto"/>
                        <w:bottom w:val="none" w:sz="0" w:space="0" w:color="auto"/>
                        <w:right w:val="none" w:sz="0" w:space="0" w:color="auto"/>
                      </w:divBdr>
                      <w:divsChild>
                        <w:div w:id="1455246774">
                          <w:marLeft w:val="0"/>
                          <w:marRight w:val="0"/>
                          <w:marTop w:val="0"/>
                          <w:marBottom w:val="0"/>
                          <w:divBdr>
                            <w:top w:val="none" w:sz="0" w:space="0" w:color="auto"/>
                            <w:left w:val="none" w:sz="0" w:space="0" w:color="auto"/>
                            <w:bottom w:val="none" w:sz="0" w:space="0" w:color="auto"/>
                            <w:right w:val="none" w:sz="0" w:space="0" w:color="auto"/>
                          </w:divBdr>
                          <w:divsChild>
                            <w:div w:id="1298338382">
                              <w:marLeft w:val="0"/>
                              <w:marRight w:val="0"/>
                              <w:marTop w:val="0"/>
                              <w:marBottom w:val="0"/>
                              <w:divBdr>
                                <w:top w:val="none" w:sz="0" w:space="0" w:color="auto"/>
                                <w:left w:val="none" w:sz="0" w:space="0" w:color="auto"/>
                                <w:bottom w:val="none" w:sz="0" w:space="0" w:color="auto"/>
                                <w:right w:val="none" w:sz="0" w:space="0" w:color="auto"/>
                              </w:divBdr>
                              <w:divsChild>
                                <w:div w:id="767390286">
                                  <w:marLeft w:val="0"/>
                                  <w:marRight w:val="0"/>
                                  <w:marTop w:val="0"/>
                                  <w:marBottom w:val="0"/>
                                  <w:divBdr>
                                    <w:top w:val="none" w:sz="0" w:space="0" w:color="auto"/>
                                    <w:left w:val="none" w:sz="0" w:space="0" w:color="auto"/>
                                    <w:bottom w:val="none" w:sz="0" w:space="0" w:color="auto"/>
                                    <w:right w:val="none" w:sz="0" w:space="0" w:color="auto"/>
                                  </w:divBdr>
                                  <w:divsChild>
                                    <w:div w:id="1292712965">
                                      <w:marLeft w:val="0"/>
                                      <w:marRight w:val="0"/>
                                      <w:marTop w:val="0"/>
                                      <w:marBottom w:val="0"/>
                                      <w:divBdr>
                                        <w:top w:val="none" w:sz="0" w:space="0" w:color="auto"/>
                                        <w:left w:val="none" w:sz="0" w:space="0" w:color="auto"/>
                                        <w:bottom w:val="none" w:sz="0" w:space="0" w:color="auto"/>
                                        <w:right w:val="none" w:sz="0" w:space="0" w:color="auto"/>
                                      </w:divBdr>
                                      <w:divsChild>
                                        <w:div w:id="1372728121">
                                          <w:marLeft w:val="0"/>
                                          <w:marRight w:val="0"/>
                                          <w:marTop w:val="0"/>
                                          <w:marBottom w:val="0"/>
                                          <w:divBdr>
                                            <w:top w:val="none" w:sz="0" w:space="0" w:color="auto"/>
                                            <w:left w:val="none" w:sz="0" w:space="0" w:color="auto"/>
                                            <w:bottom w:val="none" w:sz="0" w:space="0" w:color="auto"/>
                                            <w:right w:val="none" w:sz="0" w:space="0" w:color="auto"/>
                                          </w:divBdr>
                                          <w:divsChild>
                                            <w:div w:id="2142646621">
                                              <w:marLeft w:val="0"/>
                                              <w:marRight w:val="0"/>
                                              <w:marTop w:val="0"/>
                                              <w:marBottom w:val="0"/>
                                              <w:divBdr>
                                                <w:top w:val="none" w:sz="0" w:space="0" w:color="auto"/>
                                                <w:left w:val="none" w:sz="0" w:space="0" w:color="auto"/>
                                                <w:bottom w:val="none" w:sz="0" w:space="0" w:color="auto"/>
                                                <w:right w:val="none" w:sz="0" w:space="0" w:color="auto"/>
                                              </w:divBdr>
                                              <w:divsChild>
                                                <w:div w:id="17097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9385050">
          <w:marLeft w:val="0"/>
          <w:marRight w:val="0"/>
          <w:marTop w:val="0"/>
          <w:marBottom w:val="0"/>
          <w:divBdr>
            <w:top w:val="none" w:sz="0" w:space="0" w:color="auto"/>
            <w:left w:val="none" w:sz="0" w:space="0" w:color="auto"/>
            <w:bottom w:val="none" w:sz="0" w:space="0" w:color="auto"/>
            <w:right w:val="none" w:sz="0" w:space="0" w:color="auto"/>
          </w:divBdr>
          <w:divsChild>
            <w:div w:id="2067679022">
              <w:marLeft w:val="0"/>
              <w:marRight w:val="0"/>
              <w:marTop w:val="0"/>
              <w:marBottom w:val="0"/>
              <w:divBdr>
                <w:top w:val="none" w:sz="0" w:space="0" w:color="auto"/>
                <w:left w:val="none" w:sz="0" w:space="0" w:color="auto"/>
                <w:bottom w:val="none" w:sz="0" w:space="0" w:color="auto"/>
                <w:right w:val="none" w:sz="0" w:space="0" w:color="auto"/>
              </w:divBdr>
              <w:divsChild>
                <w:div w:id="444354378">
                  <w:marLeft w:val="0"/>
                  <w:marRight w:val="0"/>
                  <w:marTop w:val="0"/>
                  <w:marBottom w:val="0"/>
                  <w:divBdr>
                    <w:top w:val="none" w:sz="0" w:space="0" w:color="auto"/>
                    <w:left w:val="none" w:sz="0" w:space="0" w:color="auto"/>
                    <w:bottom w:val="none" w:sz="0" w:space="0" w:color="auto"/>
                    <w:right w:val="none" w:sz="0" w:space="0" w:color="auto"/>
                  </w:divBdr>
                  <w:divsChild>
                    <w:div w:id="17757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62183">
      <w:bodyDiv w:val="1"/>
      <w:marLeft w:val="0"/>
      <w:marRight w:val="0"/>
      <w:marTop w:val="0"/>
      <w:marBottom w:val="0"/>
      <w:divBdr>
        <w:top w:val="none" w:sz="0" w:space="0" w:color="auto"/>
        <w:left w:val="none" w:sz="0" w:space="0" w:color="auto"/>
        <w:bottom w:val="none" w:sz="0" w:space="0" w:color="auto"/>
        <w:right w:val="none" w:sz="0" w:space="0" w:color="auto"/>
      </w:divBdr>
    </w:div>
    <w:div w:id="1041782734">
      <w:bodyDiv w:val="1"/>
      <w:marLeft w:val="0"/>
      <w:marRight w:val="0"/>
      <w:marTop w:val="0"/>
      <w:marBottom w:val="0"/>
      <w:divBdr>
        <w:top w:val="none" w:sz="0" w:space="0" w:color="auto"/>
        <w:left w:val="none" w:sz="0" w:space="0" w:color="auto"/>
        <w:bottom w:val="none" w:sz="0" w:space="0" w:color="auto"/>
        <w:right w:val="none" w:sz="0" w:space="0" w:color="auto"/>
      </w:divBdr>
    </w:div>
    <w:div w:id="1047875099">
      <w:bodyDiv w:val="1"/>
      <w:marLeft w:val="0"/>
      <w:marRight w:val="0"/>
      <w:marTop w:val="0"/>
      <w:marBottom w:val="0"/>
      <w:divBdr>
        <w:top w:val="none" w:sz="0" w:space="0" w:color="auto"/>
        <w:left w:val="none" w:sz="0" w:space="0" w:color="auto"/>
        <w:bottom w:val="none" w:sz="0" w:space="0" w:color="auto"/>
        <w:right w:val="none" w:sz="0" w:space="0" w:color="auto"/>
      </w:divBdr>
    </w:div>
    <w:div w:id="1057629704">
      <w:bodyDiv w:val="1"/>
      <w:marLeft w:val="0"/>
      <w:marRight w:val="0"/>
      <w:marTop w:val="0"/>
      <w:marBottom w:val="0"/>
      <w:divBdr>
        <w:top w:val="none" w:sz="0" w:space="0" w:color="auto"/>
        <w:left w:val="none" w:sz="0" w:space="0" w:color="auto"/>
        <w:bottom w:val="none" w:sz="0" w:space="0" w:color="auto"/>
        <w:right w:val="none" w:sz="0" w:space="0" w:color="auto"/>
      </w:divBdr>
    </w:div>
    <w:div w:id="1079251880">
      <w:bodyDiv w:val="1"/>
      <w:marLeft w:val="0"/>
      <w:marRight w:val="0"/>
      <w:marTop w:val="0"/>
      <w:marBottom w:val="0"/>
      <w:divBdr>
        <w:top w:val="none" w:sz="0" w:space="0" w:color="auto"/>
        <w:left w:val="none" w:sz="0" w:space="0" w:color="auto"/>
        <w:bottom w:val="none" w:sz="0" w:space="0" w:color="auto"/>
        <w:right w:val="none" w:sz="0" w:space="0" w:color="auto"/>
      </w:divBdr>
    </w:div>
    <w:div w:id="1080054854">
      <w:bodyDiv w:val="1"/>
      <w:marLeft w:val="0"/>
      <w:marRight w:val="0"/>
      <w:marTop w:val="0"/>
      <w:marBottom w:val="0"/>
      <w:divBdr>
        <w:top w:val="none" w:sz="0" w:space="0" w:color="auto"/>
        <w:left w:val="none" w:sz="0" w:space="0" w:color="auto"/>
        <w:bottom w:val="none" w:sz="0" w:space="0" w:color="auto"/>
        <w:right w:val="none" w:sz="0" w:space="0" w:color="auto"/>
      </w:divBdr>
    </w:div>
    <w:div w:id="1085758692">
      <w:bodyDiv w:val="1"/>
      <w:marLeft w:val="0"/>
      <w:marRight w:val="0"/>
      <w:marTop w:val="0"/>
      <w:marBottom w:val="0"/>
      <w:divBdr>
        <w:top w:val="none" w:sz="0" w:space="0" w:color="auto"/>
        <w:left w:val="none" w:sz="0" w:space="0" w:color="auto"/>
        <w:bottom w:val="none" w:sz="0" w:space="0" w:color="auto"/>
        <w:right w:val="none" w:sz="0" w:space="0" w:color="auto"/>
      </w:divBdr>
    </w:div>
    <w:div w:id="1095907129">
      <w:bodyDiv w:val="1"/>
      <w:marLeft w:val="0"/>
      <w:marRight w:val="0"/>
      <w:marTop w:val="0"/>
      <w:marBottom w:val="0"/>
      <w:divBdr>
        <w:top w:val="none" w:sz="0" w:space="0" w:color="auto"/>
        <w:left w:val="none" w:sz="0" w:space="0" w:color="auto"/>
        <w:bottom w:val="none" w:sz="0" w:space="0" w:color="auto"/>
        <w:right w:val="none" w:sz="0" w:space="0" w:color="auto"/>
      </w:divBdr>
    </w:div>
    <w:div w:id="1096444249">
      <w:bodyDiv w:val="1"/>
      <w:marLeft w:val="0"/>
      <w:marRight w:val="0"/>
      <w:marTop w:val="0"/>
      <w:marBottom w:val="0"/>
      <w:divBdr>
        <w:top w:val="none" w:sz="0" w:space="0" w:color="auto"/>
        <w:left w:val="none" w:sz="0" w:space="0" w:color="auto"/>
        <w:bottom w:val="none" w:sz="0" w:space="0" w:color="auto"/>
        <w:right w:val="none" w:sz="0" w:space="0" w:color="auto"/>
      </w:divBdr>
    </w:div>
    <w:div w:id="1099835922">
      <w:bodyDiv w:val="1"/>
      <w:marLeft w:val="0"/>
      <w:marRight w:val="0"/>
      <w:marTop w:val="0"/>
      <w:marBottom w:val="0"/>
      <w:divBdr>
        <w:top w:val="none" w:sz="0" w:space="0" w:color="auto"/>
        <w:left w:val="none" w:sz="0" w:space="0" w:color="auto"/>
        <w:bottom w:val="none" w:sz="0" w:space="0" w:color="auto"/>
        <w:right w:val="none" w:sz="0" w:space="0" w:color="auto"/>
      </w:divBdr>
    </w:div>
    <w:div w:id="1101343749">
      <w:bodyDiv w:val="1"/>
      <w:marLeft w:val="0"/>
      <w:marRight w:val="0"/>
      <w:marTop w:val="0"/>
      <w:marBottom w:val="0"/>
      <w:divBdr>
        <w:top w:val="none" w:sz="0" w:space="0" w:color="auto"/>
        <w:left w:val="none" w:sz="0" w:space="0" w:color="auto"/>
        <w:bottom w:val="none" w:sz="0" w:space="0" w:color="auto"/>
        <w:right w:val="none" w:sz="0" w:space="0" w:color="auto"/>
      </w:divBdr>
    </w:div>
    <w:div w:id="1102997787">
      <w:bodyDiv w:val="1"/>
      <w:marLeft w:val="0"/>
      <w:marRight w:val="0"/>
      <w:marTop w:val="0"/>
      <w:marBottom w:val="0"/>
      <w:divBdr>
        <w:top w:val="none" w:sz="0" w:space="0" w:color="auto"/>
        <w:left w:val="none" w:sz="0" w:space="0" w:color="auto"/>
        <w:bottom w:val="none" w:sz="0" w:space="0" w:color="auto"/>
        <w:right w:val="none" w:sz="0" w:space="0" w:color="auto"/>
      </w:divBdr>
    </w:div>
    <w:div w:id="1104305163">
      <w:bodyDiv w:val="1"/>
      <w:marLeft w:val="0"/>
      <w:marRight w:val="0"/>
      <w:marTop w:val="0"/>
      <w:marBottom w:val="0"/>
      <w:divBdr>
        <w:top w:val="none" w:sz="0" w:space="0" w:color="auto"/>
        <w:left w:val="none" w:sz="0" w:space="0" w:color="auto"/>
        <w:bottom w:val="none" w:sz="0" w:space="0" w:color="auto"/>
        <w:right w:val="none" w:sz="0" w:space="0" w:color="auto"/>
      </w:divBdr>
    </w:div>
    <w:div w:id="1108113132">
      <w:bodyDiv w:val="1"/>
      <w:marLeft w:val="0"/>
      <w:marRight w:val="0"/>
      <w:marTop w:val="0"/>
      <w:marBottom w:val="0"/>
      <w:divBdr>
        <w:top w:val="none" w:sz="0" w:space="0" w:color="auto"/>
        <w:left w:val="none" w:sz="0" w:space="0" w:color="auto"/>
        <w:bottom w:val="none" w:sz="0" w:space="0" w:color="auto"/>
        <w:right w:val="none" w:sz="0" w:space="0" w:color="auto"/>
      </w:divBdr>
    </w:div>
    <w:div w:id="1111701679">
      <w:bodyDiv w:val="1"/>
      <w:marLeft w:val="0"/>
      <w:marRight w:val="0"/>
      <w:marTop w:val="0"/>
      <w:marBottom w:val="0"/>
      <w:divBdr>
        <w:top w:val="none" w:sz="0" w:space="0" w:color="auto"/>
        <w:left w:val="none" w:sz="0" w:space="0" w:color="auto"/>
        <w:bottom w:val="none" w:sz="0" w:space="0" w:color="auto"/>
        <w:right w:val="none" w:sz="0" w:space="0" w:color="auto"/>
      </w:divBdr>
    </w:div>
    <w:div w:id="1112556171">
      <w:bodyDiv w:val="1"/>
      <w:marLeft w:val="0"/>
      <w:marRight w:val="0"/>
      <w:marTop w:val="0"/>
      <w:marBottom w:val="0"/>
      <w:divBdr>
        <w:top w:val="none" w:sz="0" w:space="0" w:color="auto"/>
        <w:left w:val="none" w:sz="0" w:space="0" w:color="auto"/>
        <w:bottom w:val="none" w:sz="0" w:space="0" w:color="auto"/>
        <w:right w:val="none" w:sz="0" w:space="0" w:color="auto"/>
      </w:divBdr>
    </w:div>
    <w:div w:id="1115175268">
      <w:bodyDiv w:val="1"/>
      <w:marLeft w:val="0"/>
      <w:marRight w:val="0"/>
      <w:marTop w:val="0"/>
      <w:marBottom w:val="0"/>
      <w:divBdr>
        <w:top w:val="none" w:sz="0" w:space="0" w:color="auto"/>
        <w:left w:val="none" w:sz="0" w:space="0" w:color="auto"/>
        <w:bottom w:val="none" w:sz="0" w:space="0" w:color="auto"/>
        <w:right w:val="none" w:sz="0" w:space="0" w:color="auto"/>
      </w:divBdr>
    </w:div>
    <w:div w:id="1117531112">
      <w:bodyDiv w:val="1"/>
      <w:marLeft w:val="0"/>
      <w:marRight w:val="0"/>
      <w:marTop w:val="0"/>
      <w:marBottom w:val="0"/>
      <w:divBdr>
        <w:top w:val="none" w:sz="0" w:space="0" w:color="auto"/>
        <w:left w:val="none" w:sz="0" w:space="0" w:color="auto"/>
        <w:bottom w:val="none" w:sz="0" w:space="0" w:color="auto"/>
        <w:right w:val="none" w:sz="0" w:space="0" w:color="auto"/>
      </w:divBdr>
    </w:div>
    <w:div w:id="1121193267">
      <w:bodyDiv w:val="1"/>
      <w:marLeft w:val="0"/>
      <w:marRight w:val="0"/>
      <w:marTop w:val="0"/>
      <w:marBottom w:val="0"/>
      <w:divBdr>
        <w:top w:val="none" w:sz="0" w:space="0" w:color="auto"/>
        <w:left w:val="none" w:sz="0" w:space="0" w:color="auto"/>
        <w:bottom w:val="none" w:sz="0" w:space="0" w:color="auto"/>
        <w:right w:val="none" w:sz="0" w:space="0" w:color="auto"/>
      </w:divBdr>
    </w:div>
    <w:div w:id="1127506273">
      <w:bodyDiv w:val="1"/>
      <w:marLeft w:val="0"/>
      <w:marRight w:val="0"/>
      <w:marTop w:val="0"/>
      <w:marBottom w:val="0"/>
      <w:divBdr>
        <w:top w:val="none" w:sz="0" w:space="0" w:color="auto"/>
        <w:left w:val="none" w:sz="0" w:space="0" w:color="auto"/>
        <w:bottom w:val="none" w:sz="0" w:space="0" w:color="auto"/>
        <w:right w:val="none" w:sz="0" w:space="0" w:color="auto"/>
      </w:divBdr>
    </w:div>
    <w:div w:id="1128546224">
      <w:bodyDiv w:val="1"/>
      <w:marLeft w:val="0"/>
      <w:marRight w:val="0"/>
      <w:marTop w:val="0"/>
      <w:marBottom w:val="0"/>
      <w:divBdr>
        <w:top w:val="none" w:sz="0" w:space="0" w:color="auto"/>
        <w:left w:val="none" w:sz="0" w:space="0" w:color="auto"/>
        <w:bottom w:val="none" w:sz="0" w:space="0" w:color="auto"/>
        <w:right w:val="none" w:sz="0" w:space="0" w:color="auto"/>
      </w:divBdr>
    </w:div>
    <w:div w:id="1136525390">
      <w:bodyDiv w:val="1"/>
      <w:marLeft w:val="0"/>
      <w:marRight w:val="0"/>
      <w:marTop w:val="0"/>
      <w:marBottom w:val="0"/>
      <w:divBdr>
        <w:top w:val="none" w:sz="0" w:space="0" w:color="auto"/>
        <w:left w:val="none" w:sz="0" w:space="0" w:color="auto"/>
        <w:bottom w:val="none" w:sz="0" w:space="0" w:color="auto"/>
        <w:right w:val="none" w:sz="0" w:space="0" w:color="auto"/>
      </w:divBdr>
    </w:div>
    <w:div w:id="1150906969">
      <w:bodyDiv w:val="1"/>
      <w:marLeft w:val="0"/>
      <w:marRight w:val="0"/>
      <w:marTop w:val="0"/>
      <w:marBottom w:val="0"/>
      <w:divBdr>
        <w:top w:val="none" w:sz="0" w:space="0" w:color="auto"/>
        <w:left w:val="none" w:sz="0" w:space="0" w:color="auto"/>
        <w:bottom w:val="none" w:sz="0" w:space="0" w:color="auto"/>
        <w:right w:val="none" w:sz="0" w:space="0" w:color="auto"/>
      </w:divBdr>
    </w:div>
    <w:div w:id="1169522547">
      <w:bodyDiv w:val="1"/>
      <w:marLeft w:val="0"/>
      <w:marRight w:val="0"/>
      <w:marTop w:val="0"/>
      <w:marBottom w:val="0"/>
      <w:divBdr>
        <w:top w:val="none" w:sz="0" w:space="0" w:color="auto"/>
        <w:left w:val="none" w:sz="0" w:space="0" w:color="auto"/>
        <w:bottom w:val="none" w:sz="0" w:space="0" w:color="auto"/>
        <w:right w:val="none" w:sz="0" w:space="0" w:color="auto"/>
      </w:divBdr>
    </w:div>
    <w:div w:id="1172531571">
      <w:bodyDiv w:val="1"/>
      <w:marLeft w:val="0"/>
      <w:marRight w:val="0"/>
      <w:marTop w:val="0"/>
      <w:marBottom w:val="0"/>
      <w:divBdr>
        <w:top w:val="none" w:sz="0" w:space="0" w:color="auto"/>
        <w:left w:val="none" w:sz="0" w:space="0" w:color="auto"/>
        <w:bottom w:val="none" w:sz="0" w:space="0" w:color="auto"/>
        <w:right w:val="none" w:sz="0" w:space="0" w:color="auto"/>
      </w:divBdr>
    </w:div>
    <w:div w:id="1185679175">
      <w:bodyDiv w:val="1"/>
      <w:marLeft w:val="0"/>
      <w:marRight w:val="0"/>
      <w:marTop w:val="0"/>
      <w:marBottom w:val="0"/>
      <w:divBdr>
        <w:top w:val="none" w:sz="0" w:space="0" w:color="auto"/>
        <w:left w:val="none" w:sz="0" w:space="0" w:color="auto"/>
        <w:bottom w:val="none" w:sz="0" w:space="0" w:color="auto"/>
        <w:right w:val="none" w:sz="0" w:space="0" w:color="auto"/>
      </w:divBdr>
    </w:div>
    <w:div w:id="1186869740">
      <w:bodyDiv w:val="1"/>
      <w:marLeft w:val="0"/>
      <w:marRight w:val="0"/>
      <w:marTop w:val="0"/>
      <w:marBottom w:val="0"/>
      <w:divBdr>
        <w:top w:val="none" w:sz="0" w:space="0" w:color="auto"/>
        <w:left w:val="none" w:sz="0" w:space="0" w:color="auto"/>
        <w:bottom w:val="none" w:sz="0" w:space="0" w:color="auto"/>
        <w:right w:val="none" w:sz="0" w:space="0" w:color="auto"/>
      </w:divBdr>
      <w:divsChild>
        <w:div w:id="1853646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961737">
      <w:bodyDiv w:val="1"/>
      <w:marLeft w:val="0"/>
      <w:marRight w:val="0"/>
      <w:marTop w:val="0"/>
      <w:marBottom w:val="0"/>
      <w:divBdr>
        <w:top w:val="none" w:sz="0" w:space="0" w:color="auto"/>
        <w:left w:val="none" w:sz="0" w:space="0" w:color="auto"/>
        <w:bottom w:val="none" w:sz="0" w:space="0" w:color="auto"/>
        <w:right w:val="none" w:sz="0" w:space="0" w:color="auto"/>
      </w:divBdr>
    </w:div>
    <w:div w:id="1194533340">
      <w:bodyDiv w:val="1"/>
      <w:marLeft w:val="0"/>
      <w:marRight w:val="0"/>
      <w:marTop w:val="0"/>
      <w:marBottom w:val="0"/>
      <w:divBdr>
        <w:top w:val="none" w:sz="0" w:space="0" w:color="auto"/>
        <w:left w:val="none" w:sz="0" w:space="0" w:color="auto"/>
        <w:bottom w:val="none" w:sz="0" w:space="0" w:color="auto"/>
        <w:right w:val="none" w:sz="0" w:space="0" w:color="auto"/>
      </w:divBdr>
    </w:div>
    <w:div w:id="1196230930">
      <w:bodyDiv w:val="1"/>
      <w:marLeft w:val="0"/>
      <w:marRight w:val="0"/>
      <w:marTop w:val="0"/>
      <w:marBottom w:val="0"/>
      <w:divBdr>
        <w:top w:val="none" w:sz="0" w:space="0" w:color="auto"/>
        <w:left w:val="none" w:sz="0" w:space="0" w:color="auto"/>
        <w:bottom w:val="none" w:sz="0" w:space="0" w:color="auto"/>
        <w:right w:val="none" w:sz="0" w:space="0" w:color="auto"/>
      </w:divBdr>
    </w:div>
    <w:div w:id="1198392429">
      <w:bodyDiv w:val="1"/>
      <w:marLeft w:val="0"/>
      <w:marRight w:val="0"/>
      <w:marTop w:val="0"/>
      <w:marBottom w:val="0"/>
      <w:divBdr>
        <w:top w:val="none" w:sz="0" w:space="0" w:color="auto"/>
        <w:left w:val="none" w:sz="0" w:space="0" w:color="auto"/>
        <w:bottom w:val="none" w:sz="0" w:space="0" w:color="auto"/>
        <w:right w:val="none" w:sz="0" w:space="0" w:color="auto"/>
      </w:divBdr>
    </w:div>
    <w:div w:id="1201094200">
      <w:bodyDiv w:val="1"/>
      <w:marLeft w:val="0"/>
      <w:marRight w:val="0"/>
      <w:marTop w:val="0"/>
      <w:marBottom w:val="0"/>
      <w:divBdr>
        <w:top w:val="none" w:sz="0" w:space="0" w:color="auto"/>
        <w:left w:val="none" w:sz="0" w:space="0" w:color="auto"/>
        <w:bottom w:val="none" w:sz="0" w:space="0" w:color="auto"/>
        <w:right w:val="none" w:sz="0" w:space="0" w:color="auto"/>
      </w:divBdr>
    </w:div>
    <w:div w:id="1205943716">
      <w:bodyDiv w:val="1"/>
      <w:marLeft w:val="0"/>
      <w:marRight w:val="0"/>
      <w:marTop w:val="0"/>
      <w:marBottom w:val="0"/>
      <w:divBdr>
        <w:top w:val="none" w:sz="0" w:space="0" w:color="auto"/>
        <w:left w:val="none" w:sz="0" w:space="0" w:color="auto"/>
        <w:bottom w:val="none" w:sz="0" w:space="0" w:color="auto"/>
        <w:right w:val="none" w:sz="0" w:space="0" w:color="auto"/>
      </w:divBdr>
    </w:div>
    <w:div w:id="1207135360">
      <w:bodyDiv w:val="1"/>
      <w:marLeft w:val="0"/>
      <w:marRight w:val="0"/>
      <w:marTop w:val="0"/>
      <w:marBottom w:val="0"/>
      <w:divBdr>
        <w:top w:val="none" w:sz="0" w:space="0" w:color="auto"/>
        <w:left w:val="none" w:sz="0" w:space="0" w:color="auto"/>
        <w:bottom w:val="none" w:sz="0" w:space="0" w:color="auto"/>
        <w:right w:val="none" w:sz="0" w:space="0" w:color="auto"/>
      </w:divBdr>
      <w:divsChild>
        <w:div w:id="491415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729376">
      <w:bodyDiv w:val="1"/>
      <w:marLeft w:val="0"/>
      <w:marRight w:val="0"/>
      <w:marTop w:val="0"/>
      <w:marBottom w:val="0"/>
      <w:divBdr>
        <w:top w:val="none" w:sz="0" w:space="0" w:color="auto"/>
        <w:left w:val="none" w:sz="0" w:space="0" w:color="auto"/>
        <w:bottom w:val="none" w:sz="0" w:space="0" w:color="auto"/>
        <w:right w:val="none" w:sz="0" w:space="0" w:color="auto"/>
      </w:divBdr>
      <w:divsChild>
        <w:div w:id="899635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883409">
      <w:bodyDiv w:val="1"/>
      <w:marLeft w:val="0"/>
      <w:marRight w:val="0"/>
      <w:marTop w:val="0"/>
      <w:marBottom w:val="0"/>
      <w:divBdr>
        <w:top w:val="none" w:sz="0" w:space="0" w:color="auto"/>
        <w:left w:val="none" w:sz="0" w:space="0" w:color="auto"/>
        <w:bottom w:val="none" w:sz="0" w:space="0" w:color="auto"/>
        <w:right w:val="none" w:sz="0" w:space="0" w:color="auto"/>
      </w:divBdr>
    </w:div>
    <w:div w:id="1216091025">
      <w:bodyDiv w:val="1"/>
      <w:marLeft w:val="0"/>
      <w:marRight w:val="0"/>
      <w:marTop w:val="0"/>
      <w:marBottom w:val="0"/>
      <w:divBdr>
        <w:top w:val="none" w:sz="0" w:space="0" w:color="auto"/>
        <w:left w:val="none" w:sz="0" w:space="0" w:color="auto"/>
        <w:bottom w:val="none" w:sz="0" w:space="0" w:color="auto"/>
        <w:right w:val="none" w:sz="0" w:space="0" w:color="auto"/>
      </w:divBdr>
    </w:div>
    <w:div w:id="1224222286">
      <w:bodyDiv w:val="1"/>
      <w:marLeft w:val="0"/>
      <w:marRight w:val="0"/>
      <w:marTop w:val="0"/>
      <w:marBottom w:val="0"/>
      <w:divBdr>
        <w:top w:val="none" w:sz="0" w:space="0" w:color="auto"/>
        <w:left w:val="none" w:sz="0" w:space="0" w:color="auto"/>
        <w:bottom w:val="none" w:sz="0" w:space="0" w:color="auto"/>
        <w:right w:val="none" w:sz="0" w:space="0" w:color="auto"/>
      </w:divBdr>
    </w:div>
    <w:div w:id="1229455923">
      <w:bodyDiv w:val="1"/>
      <w:marLeft w:val="0"/>
      <w:marRight w:val="0"/>
      <w:marTop w:val="0"/>
      <w:marBottom w:val="0"/>
      <w:divBdr>
        <w:top w:val="none" w:sz="0" w:space="0" w:color="auto"/>
        <w:left w:val="none" w:sz="0" w:space="0" w:color="auto"/>
        <w:bottom w:val="none" w:sz="0" w:space="0" w:color="auto"/>
        <w:right w:val="none" w:sz="0" w:space="0" w:color="auto"/>
      </w:divBdr>
    </w:div>
    <w:div w:id="1229459947">
      <w:bodyDiv w:val="1"/>
      <w:marLeft w:val="0"/>
      <w:marRight w:val="0"/>
      <w:marTop w:val="0"/>
      <w:marBottom w:val="0"/>
      <w:divBdr>
        <w:top w:val="none" w:sz="0" w:space="0" w:color="auto"/>
        <w:left w:val="none" w:sz="0" w:space="0" w:color="auto"/>
        <w:bottom w:val="none" w:sz="0" w:space="0" w:color="auto"/>
        <w:right w:val="none" w:sz="0" w:space="0" w:color="auto"/>
      </w:divBdr>
    </w:div>
    <w:div w:id="1234583264">
      <w:bodyDiv w:val="1"/>
      <w:marLeft w:val="0"/>
      <w:marRight w:val="0"/>
      <w:marTop w:val="0"/>
      <w:marBottom w:val="0"/>
      <w:divBdr>
        <w:top w:val="none" w:sz="0" w:space="0" w:color="auto"/>
        <w:left w:val="none" w:sz="0" w:space="0" w:color="auto"/>
        <w:bottom w:val="none" w:sz="0" w:space="0" w:color="auto"/>
        <w:right w:val="none" w:sz="0" w:space="0" w:color="auto"/>
      </w:divBdr>
    </w:div>
    <w:div w:id="1236667079">
      <w:bodyDiv w:val="1"/>
      <w:marLeft w:val="0"/>
      <w:marRight w:val="0"/>
      <w:marTop w:val="0"/>
      <w:marBottom w:val="0"/>
      <w:divBdr>
        <w:top w:val="none" w:sz="0" w:space="0" w:color="auto"/>
        <w:left w:val="none" w:sz="0" w:space="0" w:color="auto"/>
        <w:bottom w:val="none" w:sz="0" w:space="0" w:color="auto"/>
        <w:right w:val="none" w:sz="0" w:space="0" w:color="auto"/>
      </w:divBdr>
    </w:div>
    <w:div w:id="1257177572">
      <w:bodyDiv w:val="1"/>
      <w:marLeft w:val="0"/>
      <w:marRight w:val="0"/>
      <w:marTop w:val="0"/>
      <w:marBottom w:val="0"/>
      <w:divBdr>
        <w:top w:val="none" w:sz="0" w:space="0" w:color="auto"/>
        <w:left w:val="none" w:sz="0" w:space="0" w:color="auto"/>
        <w:bottom w:val="none" w:sz="0" w:space="0" w:color="auto"/>
        <w:right w:val="none" w:sz="0" w:space="0" w:color="auto"/>
      </w:divBdr>
    </w:div>
    <w:div w:id="1262225664">
      <w:bodyDiv w:val="1"/>
      <w:marLeft w:val="0"/>
      <w:marRight w:val="0"/>
      <w:marTop w:val="0"/>
      <w:marBottom w:val="0"/>
      <w:divBdr>
        <w:top w:val="none" w:sz="0" w:space="0" w:color="auto"/>
        <w:left w:val="none" w:sz="0" w:space="0" w:color="auto"/>
        <w:bottom w:val="none" w:sz="0" w:space="0" w:color="auto"/>
        <w:right w:val="none" w:sz="0" w:space="0" w:color="auto"/>
      </w:divBdr>
    </w:div>
    <w:div w:id="1265721736">
      <w:bodyDiv w:val="1"/>
      <w:marLeft w:val="0"/>
      <w:marRight w:val="0"/>
      <w:marTop w:val="0"/>
      <w:marBottom w:val="0"/>
      <w:divBdr>
        <w:top w:val="none" w:sz="0" w:space="0" w:color="auto"/>
        <w:left w:val="none" w:sz="0" w:space="0" w:color="auto"/>
        <w:bottom w:val="none" w:sz="0" w:space="0" w:color="auto"/>
        <w:right w:val="none" w:sz="0" w:space="0" w:color="auto"/>
      </w:divBdr>
    </w:div>
    <w:div w:id="1276521084">
      <w:bodyDiv w:val="1"/>
      <w:marLeft w:val="0"/>
      <w:marRight w:val="0"/>
      <w:marTop w:val="0"/>
      <w:marBottom w:val="0"/>
      <w:divBdr>
        <w:top w:val="none" w:sz="0" w:space="0" w:color="auto"/>
        <w:left w:val="none" w:sz="0" w:space="0" w:color="auto"/>
        <w:bottom w:val="none" w:sz="0" w:space="0" w:color="auto"/>
        <w:right w:val="none" w:sz="0" w:space="0" w:color="auto"/>
      </w:divBdr>
    </w:div>
    <w:div w:id="1281909830">
      <w:bodyDiv w:val="1"/>
      <w:marLeft w:val="0"/>
      <w:marRight w:val="0"/>
      <w:marTop w:val="0"/>
      <w:marBottom w:val="0"/>
      <w:divBdr>
        <w:top w:val="none" w:sz="0" w:space="0" w:color="auto"/>
        <w:left w:val="none" w:sz="0" w:space="0" w:color="auto"/>
        <w:bottom w:val="none" w:sz="0" w:space="0" w:color="auto"/>
        <w:right w:val="none" w:sz="0" w:space="0" w:color="auto"/>
      </w:divBdr>
    </w:div>
    <w:div w:id="1285192206">
      <w:bodyDiv w:val="1"/>
      <w:marLeft w:val="0"/>
      <w:marRight w:val="0"/>
      <w:marTop w:val="0"/>
      <w:marBottom w:val="0"/>
      <w:divBdr>
        <w:top w:val="none" w:sz="0" w:space="0" w:color="auto"/>
        <w:left w:val="none" w:sz="0" w:space="0" w:color="auto"/>
        <w:bottom w:val="none" w:sz="0" w:space="0" w:color="auto"/>
        <w:right w:val="none" w:sz="0" w:space="0" w:color="auto"/>
      </w:divBdr>
    </w:div>
    <w:div w:id="1285380844">
      <w:bodyDiv w:val="1"/>
      <w:marLeft w:val="0"/>
      <w:marRight w:val="0"/>
      <w:marTop w:val="0"/>
      <w:marBottom w:val="0"/>
      <w:divBdr>
        <w:top w:val="none" w:sz="0" w:space="0" w:color="auto"/>
        <w:left w:val="none" w:sz="0" w:space="0" w:color="auto"/>
        <w:bottom w:val="none" w:sz="0" w:space="0" w:color="auto"/>
        <w:right w:val="none" w:sz="0" w:space="0" w:color="auto"/>
      </w:divBdr>
    </w:div>
    <w:div w:id="1286424547">
      <w:bodyDiv w:val="1"/>
      <w:marLeft w:val="0"/>
      <w:marRight w:val="0"/>
      <w:marTop w:val="0"/>
      <w:marBottom w:val="0"/>
      <w:divBdr>
        <w:top w:val="none" w:sz="0" w:space="0" w:color="auto"/>
        <w:left w:val="none" w:sz="0" w:space="0" w:color="auto"/>
        <w:bottom w:val="none" w:sz="0" w:space="0" w:color="auto"/>
        <w:right w:val="none" w:sz="0" w:space="0" w:color="auto"/>
      </w:divBdr>
    </w:div>
    <w:div w:id="1298334250">
      <w:bodyDiv w:val="1"/>
      <w:marLeft w:val="0"/>
      <w:marRight w:val="0"/>
      <w:marTop w:val="0"/>
      <w:marBottom w:val="0"/>
      <w:divBdr>
        <w:top w:val="none" w:sz="0" w:space="0" w:color="auto"/>
        <w:left w:val="none" w:sz="0" w:space="0" w:color="auto"/>
        <w:bottom w:val="none" w:sz="0" w:space="0" w:color="auto"/>
        <w:right w:val="none" w:sz="0" w:space="0" w:color="auto"/>
      </w:divBdr>
    </w:div>
    <w:div w:id="1300459769">
      <w:bodyDiv w:val="1"/>
      <w:marLeft w:val="0"/>
      <w:marRight w:val="0"/>
      <w:marTop w:val="0"/>
      <w:marBottom w:val="0"/>
      <w:divBdr>
        <w:top w:val="none" w:sz="0" w:space="0" w:color="auto"/>
        <w:left w:val="none" w:sz="0" w:space="0" w:color="auto"/>
        <w:bottom w:val="none" w:sz="0" w:space="0" w:color="auto"/>
        <w:right w:val="none" w:sz="0" w:space="0" w:color="auto"/>
      </w:divBdr>
    </w:div>
    <w:div w:id="1309088206">
      <w:bodyDiv w:val="1"/>
      <w:marLeft w:val="0"/>
      <w:marRight w:val="0"/>
      <w:marTop w:val="0"/>
      <w:marBottom w:val="0"/>
      <w:divBdr>
        <w:top w:val="none" w:sz="0" w:space="0" w:color="auto"/>
        <w:left w:val="none" w:sz="0" w:space="0" w:color="auto"/>
        <w:bottom w:val="none" w:sz="0" w:space="0" w:color="auto"/>
        <w:right w:val="none" w:sz="0" w:space="0" w:color="auto"/>
      </w:divBdr>
    </w:div>
    <w:div w:id="1312558134">
      <w:bodyDiv w:val="1"/>
      <w:marLeft w:val="0"/>
      <w:marRight w:val="0"/>
      <w:marTop w:val="0"/>
      <w:marBottom w:val="0"/>
      <w:divBdr>
        <w:top w:val="none" w:sz="0" w:space="0" w:color="auto"/>
        <w:left w:val="none" w:sz="0" w:space="0" w:color="auto"/>
        <w:bottom w:val="none" w:sz="0" w:space="0" w:color="auto"/>
        <w:right w:val="none" w:sz="0" w:space="0" w:color="auto"/>
      </w:divBdr>
    </w:div>
    <w:div w:id="1313562025">
      <w:bodyDiv w:val="1"/>
      <w:marLeft w:val="0"/>
      <w:marRight w:val="0"/>
      <w:marTop w:val="0"/>
      <w:marBottom w:val="0"/>
      <w:divBdr>
        <w:top w:val="none" w:sz="0" w:space="0" w:color="auto"/>
        <w:left w:val="none" w:sz="0" w:space="0" w:color="auto"/>
        <w:bottom w:val="none" w:sz="0" w:space="0" w:color="auto"/>
        <w:right w:val="none" w:sz="0" w:space="0" w:color="auto"/>
      </w:divBdr>
    </w:div>
    <w:div w:id="1321496473">
      <w:bodyDiv w:val="1"/>
      <w:marLeft w:val="0"/>
      <w:marRight w:val="0"/>
      <w:marTop w:val="0"/>
      <w:marBottom w:val="0"/>
      <w:divBdr>
        <w:top w:val="none" w:sz="0" w:space="0" w:color="auto"/>
        <w:left w:val="none" w:sz="0" w:space="0" w:color="auto"/>
        <w:bottom w:val="none" w:sz="0" w:space="0" w:color="auto"/>
        <w:right w:val="none" w:sz="0" w:space="0" w:color="auto"/>
      </w:divBdr>
    </w:div>
    <w:div w:id="1321690039">
      <w:bodyDiv w:val="1"/>
      <w:marLeft w:val="0"/>
      <w:marRight w:val="0"/>
      <w:marTop w:val="0"/>
      <w:marBottom w:val="0"/>
      <w:divBdr>
        <w:top w:val="none" w:sz="0" w:space="0" w:color="auto"/>
        <w:left w:val="none" w:sz="0" w:space="0" w:color="auto"/>
        <w:bottom w:val="none" w:sz="0" w:space="0" w:color="auto"/>
        <w:right w:val="none" w:sz="0" w:space="0" w:color="auto"/>
      </w:divBdr>
    </w:div>
    <w:div w:id="1323001308">
      <w:bodyDiv w:val="1"/>
      <w:marLeft w:val="0"/>
      <w:marRight w:val="0"/>
      <w:marTop w:val="0"/>
      <w:marBottom w:val="0"/>
      <w:divBdr>
        <w:top w:val="none" w:sz="0" w:space="0" w:color="auto"/>
        <w:left w:val="none" w:sz="0" w:space="0" w:color="auto"/>
        <w:bottom w:val="none" w:sz="0" w:space="0" w:color="auto"/>
        <w:right w:val="none" w:sz="0" w:space="0" w:color="auto"/>
      </w:divBdr>
    </w:div>
    <w:div w:id="1324622368">
      <w:bodyDiv w:val="1"/>
      <w:marLeft w:val="0"/>
      <w:marRight w:val="0"/>
      <w:marTop w:val="0"/>
      <w:marBottom w:val="0"/>
      <w:divBdr>
        <w:top w:val="none" w:sz="0" w:space="0" w:color="auto"/>
        <w:left w:val="none" w:sz="0" w:space="0" w:color="auto"/>
        <w:bottom w:val="none" w:sz="0" w:space="0" w:color="auto"/>
        <w:right w:val="none" w:sz="0" w:space="0" w:color="auto"/>
      </w:divBdr>
    </w:div>
    <w:div w:id="1324703870">
      <w:bodyDiv w:val="1"/>
      <w:marLeft w:val="0"/>
      <w:marRight w:val="0"/>
      <w:marTop w:val="0"/>
      <w:marBottom w:val="0"/>
      <w:divBdr>
        <w:top w:val="none" w:sz="0" w:space="0" w:color="auto"/>
        <w:left w:val="none" w:sz="0" w:space="0" w:color="auto"/>
        <w:bottom w:val="none" w:sz="0" w:space="0" w:color="auto"/>
        <w:right w:val="none" w:sz="0" w:space="0" w:color="auto"/>
      </w:divBdr>
    </w:div>
    <w:div w:id="1328749141">
      <w:bodyDiv w:val="1"/>
      <w:marLeft w:val="0"/>
      <w:marRight w:val="0"/>
      <w:marTop w:val="0"/>
      <w:marBottom w:val="0"/>
      <w:divBdr>
        <w:top w:val="none" w:sz="0" w:space="0" w:color="auto"/>
        <w:left w:val="none" w:sz="0" w:space="0" w:color="auto"/>
        <w:bottom w:val="none" w:sz="0" w:space="0" w:color="auto"/>
        <w:right w:val="none" w:sz="0" w:space="0" w:color="auto"/>
      </w:divBdr>
    </w:div>
    <w:div w:id="1342124425">
      <w:bodyDiv w:val="1"/>
      <w:marLeft w:val="0"/>
      <w:marRight w:val="0"/>
      <w:marTop w:val="0"/>
      <w:marBottom w:val="0"/>
      <w:divBdr>
        <w:top w:val="none" w:sz="0" w:space="0" w:color="auto"/>
        <w:left w:val="none" w:sz="0" w:space="0" w:color="auto"/>
        <w:bottom w:val="none" w:sz="0" w:space="0" w:color="auto"/>
        <w:right w:val="none" w:sz="0" w:space="0" w:color="auto"/>
      </w:divBdr>
    </w:div>
    <w:div w:id="1349408392">
      <w:bodyDiv w:val="1"/>
      <w:marLeft w:val="0"/>
      <w:marRight w:val="0"/>
      <w:marTop w:val="0"/>
      <w:marBottom w:val="0"/>
      <w:divBdr>
        <w:top w:val="none" w:sz="0" w:space="0" w:color="auto"/>
        <w:left w:val="none" w:sz="0" w:space="0" w:color="auto"/>
        <w:bottom w:val="none" w:sz="0" w:space="0" w:color="auto"/>
        <w:right w:val="none" w:sz="0" w:space="0" w:color="auto"/>
      </w:divBdr>
    </w:div>
    <w:div w:id="1354113650">
      <w:bodyDiv w:val="1"/>
      <w:marLeft w:val="0"/>
      <w:marRight w:val="0"/>
      <w:marTop w:val="0"/>
      <w:marBottom w:val="0"/>
      <w:divBdr>
        <w:top w:val="none" w:sz="0" w:space="0" w:color="auto"/>
        <w:left w:val="none" w:sz="0" w:space="0" w:color="auto"/>
        <w:bottom w:val="none" w:sz="0" w:space="0" w:color="auto"/>
        <w:right w:val="none" w:sz="0" w:space="0" w:color="auto"/>
      </w:divBdr>
    </w:div>
    <w:div w:id="1381590981">
      <w:bodyDiv w:val="1"/>
      <w:marLeft w:val="0"/>
      <w:marRight w:val="0"/>
      <w:marTop w:val="0"/>
      <w:marBottom w:val="0"/>
      <w:divBdr>
        <w:top w:val="none" w:sz="0" w:space="0" w:color="auto"/>
        <w:left w:val="none" w:sz="0" w:space="0" w:color="auto"/>
        <w:bottom w:val="none" w:sz="0" w:space="0" w:color="auto"/>
        <w:right w:val="none" w:sz="0" w:space="0" w:color="auto"/>
      </w:divBdr>
    </w:div>
    <w:div w:id="1385524142">
      <w:bodyDiv w:val="1"/>
      <w:marLeft w:val="0"/>
      <w:marRight w:val="0"/>
      <w:marTop w:val="0"/>
      <w:marBottom w:val="0"/>
      <w:divBdr>
        <w:top w:val="none" w:sz="0" w:space="0" w:color="auto"/>
        <w:left w:val="none" w:sz="0" w:space="0" w:color="auto"/>
        <w:bottom w:val="none" w:sz="0" w:space="0" w:color="auto"/>
        <w:right w:val="none" w:sz="0" w:space="0" w:color="auto"/>
      </w:divBdr>
    </w:div>
    <w:div w:id="1388456568">
      <w:bodyDiv w:val="1"/>
      <w:marLeft w:val="0"/>
      <w:marRight w:val="0"/>
      <w:marTop w:val="0"/>
      <w:marBottom w:val="0"/>
      <w:divBdr>
        <w:top w:val="none" w:sz="0" w:space="0" w:color="auto"/>
        <w:left w:val="none" w:sz="0" w:space="0" w:color="auto"/>
        <w:bottom w:val="none" w:sz="0" w:space="0" w:color="auto"/>
        <w:right w:val="none" w:sz="0" w:space="0" w:color="auto"/>
      </w:divBdr>
    </w:div>
    <w:div w:id="1388529152">
      <w:bodyDiv w:val="1"/>
      <w:marLeft w:val="0"/>
      <w:marRight w:val="0"/>
      <w:marTop w:val="0"/>
      <w:marBottom w:val="0"/>
      <w:divBdr>
        <w:top w:val="none" w:sz="0" w:space="0" w:color="auto"/>
        <w:left w:val="none" w:sz="0" w:space="0" w:color="auto"/>
        <w:bottom w:val="none" w:sz="0" w:space="0" w:color="auto"/>
        <w:right w:val="none" w:sz="0" w:space="0" w:color="auto"/>
      </w:divBdr>
    </w:div>
    <w:div w:id="1395201034">
      <w:bodyDiv w:val="1"/>
      <w:marLeft w:val="0"/>
      <w:marRight w:val="0"/>
      <w:marTop w:val="0"/>
      <w:marBottom w:val="0"/>
      <w:divBdr>
        <w:top w:val="none" w:sz="0" w:space="0" w:color="auto"/>
        <w:left w:val="none" w:sz="0" w:space="0" w:color="auto"/>
        <w:bottom w:val="none" w:sz="0" w:space="0" w:color="auto"/>
        <w:right w:val="none" w:sz="0" w:space="0" w:color="auto"/>
      </w:divBdr>
    </w:div>
    <w:div w:id="1395817996">
      <w:bodyDiv w:val="1"/>
      <w:marLeft w:val="0"/>
      <w:marRight w:val="0"/>
      <w:marTop w:val="0"/>
      <w:marBottom w:val="0"/>
      <w:divBdr>
        <w:top w:val="none" w:sz="0" w:space="0" w:color="auto"/>
        <w:left w:val="none" w:sz="0" w:space="0" w:color="auto"/>
        <w:bottom w:val="none" w:sz="0" w:space="0" w:color="auto"/>
        <w:right w:val="none" w:sz="0" w:space="0" w:color="auto"/>
      </w:divBdr>
      <w:divsChild>
        <w:div w:id="890918783">
          <w:marLeft w:val="0"/>
          <w:marRight w:val="0"/>
          <w:marTop w:val="0"/>
          <w:marBottom w:val="0"/>
          <w:divBdr>
            <w:top w:val="none" w:sz="0" w:space="0" w:color="auto"/>
            <w:left w:val="none" w:sz="0" w:space="0" w:color="auto"/>
            <w:bottom w:val="none" w:sz="0" w:space="0" w:color="auto"/>
            <w:right w:val="none" w:sz="0" w:space="0" w:color="auto"/>
          </w:divBdr>
          <w:divsChild>
            <w:div w:id="1008100727">
              <w:marLeft w:val="0"/>
              <w:marRight w:val="0"/>
              <w:marTop w:val="0"/>
              <w:marBottom w:val="0"/>
              <w:divBdr>
                <w:top w:val="none" w:sz="0" w:space="0" w:color="auto"/>
                <w:left w:val="none" w:sz="0" w:space="0" w:color="auto"/>
                <w:bottom w:val="none" w:sz="0" w:space="0" w:color="auto"/>
                <w:right w:val="none" w:sz="0" w:space="0" w:color="auto"/>
              </w:divBdr>
              <w:divsChild>
                <w:div w:id="603998748">
                  <w:marLeft w:val="0"/>
                  <w:marRight w:val="0"/>
                  <w:marTop w:val="0"/>
                  <w:marBottom w:val="0"/>
                  <w:divBdr>
                    <w:top w:val="none" w:sz="0" w:space="0" w:color="auto"/>
                    <w:left w:val="none" w:sz="0" w:space="0" w:color="auto"/>
                    <w:bottom w:val="none" w:sz="0" w:space="0" w:color="auto"/>
                    <w:right w:val="none" w:sz="0" w:space="0" w:color="auto"/>
                  </w:divBdr>
                  <w:divsChild>
                    <w:div w:id="1061175211">
                      <w:marLeft w:val="0"/>
                      <w:marRight w:val="0"/>
                      <w:marTop w:val="0"/>
                      <w:marBottom w:val="0"/>
                      <w:divBdr>
                        <w:top w:val="none" w:sz="0" w:space="0" w:color="auto"/>
                        <w:left w:val="none" w:sz="0" w:space="0" w:color="auto"/>
                        <w:bottom w:val="none" w:sz="0" w:space="0" w:color="auto"/>
                        <w:right w:val="none" w:sz="0" w:space="0" w:color="auto"/>
                      </w:divBdr>
                      <w:divsChild>
                        <w:div w:id="1936816742">
                          <w:marLeft w:val="0"/>
                          <w:marRight w:val="0"/>
                          <w:marTop w:val="0"/>
                          <w:marBottom w:val="0"/>
                          <w:divBdr>
                            <w:top w:val="none" w:sz="0" w:space="0" w:color="auto"/>
                            <w:left w:val="none" w:sz="0" w:space="0" w:color="auto"/>
                            <w:bottom w:val="none" w:sz="0" w:space="0" w:color="auto"/>
                            <w:right w:val="none" w:sz="0" w:space="0" w:color="auto"/>
                          </w:divBdr>
                          <w:divsChild>
                            <w:div w:id="143184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547519">
      <w:bodyDiv w:val="1"/>
      <w:marLeft w:val="0"/>
      <w:marRight w:val="0"/>
      <w:marTop w:val="0"/>
      <w:marBottom w:val="0"/>
      <w:divBdr>
        <w:top w:val="none" w:sz="0" w:space="0" w:color="auto"/>
        <w:left w:val="none" w:sz="0" w:space="0" w:color="auto"/>
        <w:bottom w:val="none" w:sz="0" w:space="0" w:color="auto"/>
        <w:right w:val="none" w:sz="0" w:space="0" w:color="auto"/>
      </w:divBdr>
    </w:div>
    <w:div w:id="1402170956">
      <w:bodyDiv w:val="1"/>
      <w:marLeft w:val="0"/>
      <w:marRight w:val="0"/>
      <w:marTop w:val="0"/>
      <w:marBottom w:val="0"/>
      <w:divBdr>
        <w:top w:val="none" w:sz="0" w:space="0" w:color="auto"/>
        <w:left w:val="none" w:sz="0" w:space="0" w:color="auto"/>
        <w:bottom w:val="none" w:sz="0" w:space="0" w:color="auto"/>
        <w:right w:val="none" w:sz="0" w:space="0" w:color="auto"/>
      </w:divBdr>
    </w:div>
    <w:div w:id="1404991155">
      <w:bodyDiv w:val="1"/>
      <w:marLeft w:val="0"/>
      <w:marRight w:val="0"/>
      <w:marTop w:val="0"/>
      <w:marBottom w:val="0"/>
      <w:divBdr>
        <w:top w:val="none" w:sz="0" w:space="0" w:color="auto"/>
        <w:left w:val="none" w:sz="0" w:space="0" w:color="auto"/>
        <w:bottom w:val="none" w:sz="0" w:space="0" w:color="auto"/>
        <w:right w:val="none" w:sz="0" w:space="0" w:color="auto"/>
      </w:divBdr>
    </w:div>
    <w:div w:id="1406032236">
      <w:bodyDiv w:val="1"/>
      <w:marLeft w:val="0"/>
      <w:marRight w:val="0"/>
      <w:marTop w:val="0"/>
      <w:marBottom w:val="0"/>
      <w:divBdr>
        <w:top w:val="none" w:sz="0" w:space="0" w:color="auto"/>
        <w:left w:val="none" w:sz="0" w:space="0" w:color="auto"/>
        <w:bottom w:val="none" w:sz="0" w:space="0" w:color="auto"/>
        <w:right w:val="none" w:sz="0" w:space="0" w:color="auto"/>
      </w:divBdr>
    </w:div>
    <w:div w:id="1410034683">
      <w:bodyDiv w:val="1"/>
      <w:marLeft w:val="0"/>
      <w:marRight w:val="0"/>
      <w:marTop w:val="0"/>
      <w:marBottom w:val="0"/>
      <w:divBdr>
        <w:top w:val="none" w:sz="0" w:space="0" w:color="auto"/>
        <w:left w:val="none" w:sz="0" w:space="0" w:color="auto"/>
        <w:bottom w:val="none" w:sz="0" w:space="0" w:color="auto"/>
        <w:right w:val="none" w:sz="0" w:space="0" w:color="auto"/>
      </w:divBdr>
    </w:div>
    <w:div w:id="1411386125">
      <w:bodyDiv w:val="1"/>
      <w:marLeft w:val="0"/>
      <w:marRight w:val="0"/>
      <w:marTop w:val="0"/>
      <w:marBottom w:val="0"/>
      <w:divBdr>
        <w:top w:val="none" w:sz="0" w:space="0" w:color="auto"/>
        <w:left w:val="none" w:sz="0" w:space="0" w:color="auto"/>
        <w:bottom w:val="none" w:sz="0" w:space="0" w:color="auto"/>
        <w:right w:val="none" w:sz="0" w:space="0" w:color="auto"/>
      </w:divBdr>
    </w:div>
    <w:div w:id="1415282550">
      <w:bodyDiv w:val="1"/>
      <w:marLeft w:val="0"/>
      <w:marRight w:val="0"/>
      <w:marTop w:val="0"/>
      <w:marBottom w:val="0"/>
      <w:divBdr>
        <w:top w:val="none" w:sz="0" w:space="0" w:color="auto"/>
        <w:left w:val="none" w:sz="0" w:space="0" w:color="auto"/>
        <w:bottom w:val="none" w:sz="0" w:space="0" w:color="auto"/>
        <w:right w:val="none" w:sz="0" w:space="0" w:color="auto"/>
      </w:divBdr>
    </w:div>
    <w:div w:id="1419983658">
      <w:bodyDiv w:val="1"/>
      <w:marLeft w:val="0"/>
      <w:marRight w:val="0"/>
      <w:marTop w:val="0"/>
      <w:marBottom w:val="0"/>
      <w:divBdr>
        <w:top w:val="none" w:sz="0" w:space="0" w:color="auto"/>
        <w:left w:val="none" w:sz="0" w:space="0" w:color="auto"/>
        <w:bottom w:val="none" w:sz="0" w:space="0" w:color="auto"/>
        <w:right w:val="none" w:sz="0" w:space="0" w:color="auto"/>
      </w:divBdr>
    </w:div>
    <w:div w:id="1424840841">
      <w:bodyDiv w:val="1"/>
      <w:marLeft w:val="0"/>
      <w:marRight w:val="0"/>
      <w:marTop w:val="0"/>
      <w:marBottom w:val="0"/>
      <w:divBdr>
        <w:top w:val="none" w:sz="0" w:space="0" w:color="auto"/>
        <w:left w:val="none" w:sz="0" w:space="0" w:color="auto"/>
        <w:bottom w:val="none" w:sz="0" w:space="0" w:color="auto"/>
        <w:right w:val="none" w:sz="0" w:space="0" w:color="auto"/>
      </w:divBdr>
    </w:div>
    <w:div w:id="1426538787">
      <w:bodyDiv w:val="1"/>
      <w:marLeft w:val="0"/>
      <w:marRight w:val="0"/>
      <w:marTop w:val="0"/>
      <w:marBottom w:val="0"/>
      <w:divBdr>
        <w:top w:val="none" w:sz="0" w:space="0" w:color="auto"/>
        <w:left w:val="none" w:sz="0" w:space="0" w:color="auto"/>
        <w:bottom w:val="none" w:sz="0" w:space="0" w:color="auto"/>
        <w:right w:val="none" w:sz="0" w:space="0" w:color="auto"/>
      </w:divBdr>
    </w:div>
    <w:div w:id="1427968253">
      <w:bodyDiv w:val="1"/>
      <w:marLeft w:val="0"/>
      <w:marRight w:val="0"/>
      <w:marTop w:val="0"/>
      <w:marBottom w:val="0"/>
      <w:divBdr>
        <w:top w:val="none" w:sz="0" w:space="0" w:color="auto"/>
        <w:left w:val="none" w:sz="0" w:space="0" w:color="auto"/>
        <w:bottom w:val="none" w:sz="0" w:space="0" w:color="auto"/>
        <w:right w:val="none" w:sz="0" w:space="0" w:color="auto"/>
      </w:divBdr>
    </w:div>
    <w:div w:id="1430813199">
      <w:bodyDiv w:val="1"/>
      <w:marLeft w:val="0"/>
      <w:marRight w:val="0"/>
      <w:marTop w:val="0"/>
      <w:marBottom w:val="0"/>
      <w:divBdr>
        <w:top w:val="none" w:sz="0" w:space="0" w:color="auto"/>
        <w:left w:val="none" w:sz="0" w:space="0" w:color="auto"/>
        <w:bottom w:val="none" w:sz="0" w:space="0" w:color="auto"/>
        <w:right w:val="none" w:sz="0" w:space="0" w:color="auto"/>
      </w:divBdr>
    </w:div>
    <w:div w:id="1438022196">
      <w:bodyDiv w:val="1"/>
      <w:marLeft w:val="0"/>
      <w:marRight w:val="0"/>
      <w:marTop w:val="0"/>
      <w:marBottom w:val="0"/>
      <w:divBdr>
        <w:top w:val="none" w:sz="0" w:space="0" w:color="auto"/>
        <w:left w:val="none" w:sz="0" w:space="0" w:color="auto"/>
        <w:bottom w:val="none" w:sz="0" w:space="0" w:color="auto"/>
        <w:right w:val="none" w:sz="0" w:space="0" w:color="auto"/>
      </w:divBdr>
    </w:div>
    <w:div w:id="1438721712">
      <w:bodyDiv w:val="1"/>
      <w:marLeft w:val="0"/>
      <w:marRight w:val="0"/>
      <w:marTop w:val="0"/>
      <w:marBottom w:val="0"/>
      <w:divBdr>
        <w:top w:val="none" w:sz="0" w:space="0" w:color="auto"/>
        <w:left w:val="none" w:sz="0" w:space="0" w:color="auto"/>
        <w:bottom w:val="none" w:sz="0" w:space="0" w:color="auto"/>
        <w:right w:val="none" w:sz="0" w:space="0" w:color="auto"/>
      </w:divBdr>
    </w:div>
    <w:div w:id="1443306283">
      <w:bodyDiv w:val="1"/>
      <w:marLeft w:val="0"/>
      <w:marRight w:val="0"/>
      <w:marTop w:val="0"/>
      <w:marBottom w:val="0"/>
      <w:divBdr>
        <w:top w:val="none" w:sz="0" w:space="0" w:color="auto"/>
        <w:left w:val="none" w:sz="0" w:space="0" w:color="auto"/>
        <w:bottom w:val="none" w:sz="0" w:space="0" w:color="auto"/>
        <w:right w:val="none" w:sz="0" w:space="0" w:color="auto"/>
      </w:divBdr>
    </w:div>
    <w:div w:id="1446581834">
      <w:bodyDiv w:val="1"/>
      <w:marLeft w:val="0"/>
      <w:marRight w:val="0"/>
      <w:marTop w:val="0"/>
      <w:marBottom w:val="0"/>
      <w:divBdr>
        <w:top w:val="none" w:sz="0" w:space="0" w:color="auto"/>
        <w:left w:val="none" w:sz="0" w:space="0" w:color="auto"/>
        <w:bottom w:val="none" w:sz="0" w:space="0" w:color="auto"/>
        <w:right w:val="none" w:sz="0" w:space="0" w:color="auto"/>
      </w:divBdr>
    </w:div>
    <w:div w:id="1446804285">
      <w:bodyDiv w:val="1"/>
      <w:marLeft w:val="0"/>
      <w:marRight w:val="0"/>
      <w:marTop w:val="0"/>
      <w:marBottom w:val="0"/>
      <w:divBdr>
        <w:top w:val="none" w:sz="0" w:space="0" w:color="auto"/>
        <w:left w:val="none" w:sz="0" w:space="0" w:color="auto"/>
        <w:bottom w:val="none" w:sz="0" w:space="0" w:color="auto"/>
        <w:right w:val="none" w:sz="0" w:space="0" w:color="auto"/>
      </w:divBdr>
    </w:div>
    <w:div w:id="1448239239">
      <w:bodyDiv w:val="1"/>
      <w:marLeft w:val="0"/>
      <w:marRight w:val="0"/>
      <w:marTop w:val="0"/>
      <w:marBottom w:val="0"/>
      <w:divBdr>
        <w:top w:val="none" w:sz="0" w:space="0" w:color="auto"/>
        <w:left w:val="none" w:sz="0" w:space="0" w:color="auto"/>
        <w:bottom w:val="none" w:sz="0" w:space="0" w:color="auto"/>
        <w:right w:val="none" w:sz="0" w:space="0" w:color="auto"/>
      </w:divBdr>
    </w:div>
    <w:div w:id="1449348126">
      <w:bodyDiv w:val="1"/>
      <w:marLeft w:val="0"/>
      <w:marRight w:val="0"/>
      <w:marTop w:val="0"/>
      <w:marBottom w:val="0"/>
      <w:divBdr>
        <w:top w:val="none" w:sz="0" w:space="0" w:color="auto"/>
        <w:left w:val="none" w:sz="0" w:space="0" w:color="auto"/>
        <w:bottom w:val="none" w:sz="0" w:space="0" w:color="auto"/>
        <w:right w:val="none" w:sz="0" w:space="0" w:color="auto"/>
      </w:divBdr>
    </w:div>
    <w:div w:id="1463157463">
      <w:bodyDiv w:val="1"/>
      <w:marLeft w:val="0"/>
      <w:marRight w:val="0"/>
      <w:marTop w:val="0"/>
      <w:marBottom w:val="0"/>
      <w:divBdr>
        <w:top w:val="none" w:sz="0" w:space="0" w:color="auto"/>
        <w:left w:val="none" w:sz="0" w:space="0" w:color="auto"/>
        <w:bottom w:val="none" w:sz="0" w:space="0" w:color="auto"/>
        <w:right w:val="none" w:sz="0" w:space="0" w:color="auto"/>
      </w:divBdr>
    </w:div>
    <w:div w:id="1467118531">
      <w:bodyDiv w:val="1"/>
      <w:marLeft w:val="0"/>
      <w:marRight w:val="0"/>
      <w:marTop w:val="0"/>
      <w:marBottom w:val="0"/>
      <w:divBdr>
        <w:top w:val="none" w:sz="0" w:space="0" w:color="auto"/>
        <w:left w:val="none" w:sz="0" w:space="0" w:color="auto"/>
        <w:bottom w:val="none" w:sz="0" w:space="0" w:color="auto"/>
        <w:right w:val="none" w:sz="0" w:space="0" w:color="auto"/>
      </w:divBdr>
    </w:div>
    <w:div w:id="1467352938">
      <w:bodyDiv w:val="1"/>
      <w:marLeft w:val="0"/>
      <w:marRight w:val="0"/>
      <w:marTop w:val="0"/>
      <w:marBottom w:val="0"/>
      <w:divBdr>
        <w:top w:val="none" w:sz="0" w:space="0" w:color="auto"/>
        <w:left w:val="none" w:sz="0" w:space="0" w:color="auto"/>
        <w:bottom w:val="none" w:sz="0" w:space="0" w:color="auto"/>
        <w:right w:val="none" w:sz="0" w:space="0" w:color="auto"/>
      </w:divBdr>
    </w:div>
    <w:div w:id="1469979217">
      <w:bodyDiv w:val="1"/>
      <w:marLeft w:val="0"/>
      <w:marRight w:val="0"/>
      <w:marTop w:val="0"/>
      <w:marBottom w:val="0"/>
      <w:divBdr>
        <w:top w:val="none" w:sz="0" w:space="0" w:color="auto"/>
        <w:left w:val="none" w:sz="0" w:space="0" w:color="auto"/>
        <w:bottom w:val="none" w:sz="0" w:space="0" w:color="auto"/>
        <w:right w:val="none" w:sz="0" w:space="0" w:color="auto"/>
      </w:divBdr>
    </w:div>
    <w:div w:id="1470632628">
      <w:bodyDiv w:val="1"/>
      <w:marLeft w:val="0"/>
      <w:marRight w:val="0"/>
      <w:marTop w:val="0"/>
      <w:marBottom w:val="0"/>
      <w:divBdr>
        <w:top w:val="none" w:sz="0" w:space="0" w:color="auto"/>
        <w:left w:val="none" w:sz="0" w:space="0" w:color="auto"/>
        <w:bottom w:val="none" w:sz="0" w:space="0" w:color="auto"/>
        <w:right w:val="none" w:sz="0" w:space="0" w:color="auto"/>
      </w:divBdr>
    </w:div>
    <w:div w:id="1473255803">
      <w:bodyDiv w:val="1"/>
      <w:marLeft w:val="0"/>
      <w:marRight w:val="0"/>
      <w:marTop w:val="0"/>
      <w:marBottom w:val="0"/>
      <w:divBdr>
        <w:top w:val="none" w:sz="0" w:space="0" w:color="auto"/>
        <w:left w:val="none" w:sz="0" w:space="0" w:color="auto"/>
        <w:bottom w:val="none" w:sz="0" w:space="0" w:color="auto"/>
        <w:right w:val="none" w:sz="0" w:space="0" w:color="auto"/>
      </w:divBdr>
      <w:divsChild>
        <w:div w:id="1551503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506698">
      <w:bodyDiv w:val="1"/>
      <w:marLeft w:val="0"/>
      <w:marRight w:val="0"/>
      <w:marTop w:val="0"/>
      <w:marBottom w:val="0"/>
      <w:divBdr>
        <w:top w:val="none" w:sz="0" w:space="0" w:color="auto"/>
        <w:left w:val="none" w:sz="0" w:space="0" w:color="auto"/>
        <w:bottom w:val="none" w:sz="0" w:space="0" w:color="auto"/>
        <w:right w:val="none" w:sz="0" w:space="0" w:color="auto"/>
      </w:divBdr>
    </w:div>
    <w:div w:id="1491747090">
      <w:bodyDiv w:val="1"/>
      <w:marLeft w:val="0"/>
      <w:marRight w:val="0"/>
      <w:marTop w:val="0"/>
      <w:marBottom w:val="0"/>
      <w:divBdr>
        <w:top w:val="none" w:sz="0" w:space="0" w:color="auto"/>
        <w:left w:val="none" w:sz="0" w:space="0" w:color="auto"/>
        <w:bottom w:val="none" w:sz="0" w:space="0" w:color="auto"/>
        <w:right w:val="none" w:sz="0" w:space="0" w:color="auto"/>
      </w:divBdr>
    </w:div>
    <w:div w:id="1492257318">
      <w:bodyDiv w:val="1"/>
      <w:marLeft w:val="0"/>
      <w:marRight w:val="0"/>
      <w:marTop w:val="0"/>
      <w:marBottom w:val="0"/>
      <w:divBdr>
        <w:top w:val="none" w:sz="0" w:space="0" w:color="auto"/>
        <w:left w:val="none" w:sz="0" w:space="0" w:color="auto"/>
        <w:bottom w:val="none" w:sz="0" w:space="0" w:color="auto"/>
        <w:right w:val="none" w:sz="0" w:space="0" w:color="auto"/>
      </w:divBdr>
    </w:div>
    <w:div w:id="1493108978">
      <w:bodyDiv w:val="1"/>
      <w:marLeft w:val="0"/>
      <w:marRight w:val="0"/>
      <w:marTop w:val="0"/>
      <w:marBottom w:val="0"/>
      <w:divBdr>
        <w:top w:val="none" w:sz="0" w:space="0" w:color="auto"/>
        <w:left w:val="none" w:sz="0" w:space="0" w:color="auto"/>
        <w:bottom w:val="none" w:sz="0" w:space="0" w:color="auto"/>
        <w:right w:val="none" w:sz="0" w:space="0" w:color="auto"/>
      </w:divBdr>
    </w:div>
    <w:div w:id="1493180160">
      <w:bodyDiv w:val="1"/>
      <w:marLeft w:val="0"/>
      <w:marRight w:val="0"/>
      <w:marTop w:val="0"/>
      <w:marBottom w:val="0"/>
      <w:divBdr>
        <w:top w:val="none" w:sz="0" w:space="0" w:color="auto"/>
        <w:left w:val="none" w:sz="0" w:space="0" w:color="auto"/>
        <w:bottom w:val="none" w:sz="0" w:space="0" w:color="auto"/>
        <w:right w:val="none" w:sz="0" w:space="0" w:color="auto"/>
      </w:divBdr>
    </w:div>
    <w:div w:id="1497964750">
      <w:bodyDiv w:val="1"/>
      <w:marLeft w:val="0"/>
      <w:marRight w:val="0"/>
      <w:marTop w:val="0"/>
      <w:marBottom w:val="0"/>
      <w:divBdr>
        <w:top w:val="none" w:sz="0" w:space="0" w:color="auto"/>
        <w:left w:val="none" w:sz="0" w:space="0" w:color="auto"/>
        <w:bottom w:val="none" w:sz="0" w:space="0" w:color="auto"/>
        <w:right w:val="none" w:sz="0" w:space="0" w:color="auto"/>
      </w:divBdr>
    </w:div>
    <w:div w:id="1498039089">
      <w:bodyDiv w:val="1"/>
      <w:marLeft w:val="0"/>
      <w:marRight w:val="0"/>
      <w:marTop w:val="0"/>
      <w:marBottom w:val="0"/>
      <w:divBdr>
        <w:top w:val="none" w:sz="0" w:space="0" w:color="auto"/>
        <w:left w:val="none" w:sz="0" w:space="0" w:color="auto"/>
        <w:bottom w:val="none" w:sz="0" w:space="0" w:color="auto"/>
        <w:right w:val="none" w:sz="0" w:space="0" w:color="auto"/>
      </w:divBdr>
    </w:div>
    <w:div w:id="1502427862">
      <w:bodyDiv w:val="1"/>
      <w:marLeft w:val="0"/>
      <w:marRight w:val="0"/>
      <w:marTop w:val="0"/>
      <w:marBottom w:val="0"/>
      <w:divBdr>
        <w:top w:val="none" w:sz="0" w:space="0" w:color="auto"/>
        <w:left w:val="none" w:sz="0" w:space="0" w:color="auto"/>
        <w:bottom w:val="none" w:sz="0" w:space="0" w:color="auto"/>
        <w:right w:val="none" w:sz="0" w:space="0" w:color="auto"/>
      </w:divBdr>
      <w:divsChild>
        <w:div w:id="248656226">
          <w:marLeft w:val="0"/>
          <w:marRight w:val="0"/>
          <w:marTop w:val="0"/>
          <w:marBottom w:val="0"/>
          <w:divBdr>
            <w:top w:val="none" w:sz="0" w:space="0" w:color="auto"/>
            <w:left w:val="none" w:sz="0" w:space="0" w:color="auto"/>
            <w:bottom w:val="none" w:sz="0" w:space="0" w:color="auto"/>
            <w:right w:val="none" w:sz="0" w:space="0" w:color="auto"/>
          </w:divBdr>
        </w:div>
        <w:div w:id="481116715">
          <w:marLeft w:val="0"/>
          <w:marRight w:val="0"/>
          <w:marTop w:val="0"/>
          <w:marBottom w:val="0"/>
          <w:divBdr>
            <w:top w:val="none" w:sz="0" w:space="0" w:color="auto"/>
            <w:left w:val="none" w:sz="0" w:space="0" w:color="auto"/>
            <w:bottom w:val="none" w:sz="0" w:space="0" w:color="auto"/>
            <w:right w:val="none" w:sz="0" w:space="0" w:color="auto"/>
          </w:divBdr>
        </w:div>
        <w:div w:id="995836956">
          <w:marLeft w:val="0"/>
          <w:marRight w:val="0"/>
          <w:marTop w:val="0"/>
          <w:marBottom w:val="0"/>
          <w:divBdr>
            <w:top w:val="none" w:sz="0" w:space="0" w:color="auto"/>
            <w:left w:val="none" w:sz="0" w:space="0" w:color="auto"/>
            <w:bottom w:val="none" w:sz="0" w:space="0" w:color="auto"/>
            <w:right w:val="none" w:sz="0" w:space="0" w:color="auto"/>
          </w:divBdr>
        </w:div>
        <w:div w:id="1287194638">
          <w:marLeft w:val="0"/>
          <w:marRight w:val="0"/>
          <w:marTop w:val="0"/>
          <w:marBottom w:val="0"/>
          <w:divBdr>
            <w:top w:val="none" w:sz="0" w:space="0" w:color="auto"/>
            <w:left w:val="none" w:sz="0" w:space="0" w:color="auto"/>
            <w:bottom w:val="none" w:sz="0" w:space="0" w:color="auto"/>
            <w:right w:val="none" w:sz="0" w:space="0" w:color="auto"/>
          </w:divBdr>
        </w:div>
      </w:divsChild>
    </w:div>
    <w:div w:id="1504663257">
      <w:bodyDiv w:val="1"/>
      <w:marLeft w:val="0"/>
      <w:marRight w:val="0"/>
      <w:marTop w:val="0"/>
      <w:marBottom w:val="0"/>
      <w:divBdr>
        <w:top w:val="none" w:sz="0" w:space="0" w:color="auto"/>
        <w:left w:val="none" w:sz="0" w:space="0" w:color="auto"/>
        <w:bottom w:val="none" w:sz="0" w:space="0" w:color="auto"/>
        <w:right w:val="none" w:sz="0" w:space="0" w:color="auto"/>
      </w:divBdr>
    </w:div>
    <w:div w:id="1509829652">
      <w:bodyDiv w:val="1"/>
      <w:marLeft w:val="0"/>
      <w:marRight w:val="0"/>
      <w:marTop w:val="0"/>
      <w:marBottom w:val="0"/>
      <w:divBdr>
        <w:top w:val="none" w:sz="0" w:space="0" w:color="auto"/>
        <w:left w:val="none" w:sz="0" w:space="0" w:color="auto"/>
        <w:bottom w:val="none" w:sz="0" w:space="0" w:color="auto"/>
        <w:right w:val="none" w:sz="0" w:space="0" w:color="auto"/>
      </w:divBdr>
    </w:div>
    <w:div w:id="1511412487">
      <w:bodyDiv w:val="1"/>
      <w:marLeft w:val="0"/>
      <w:marRight w:val="0"/>
      <w:marTop w:val="0"/>
      <w:marBottom w:val="0"/>
      <w:divBdr>
        <w:top w:val="none" w:sz="0" w:space="0" w:color="auto"/>
        <w:left w:val="none" w:sz="0" w:space="0" w:color="auto"/>
        <w:bottom w:val="none" w:sz="0" w:space="0" w:color="auto"/>
        <w:right w:val="none" w:sz="0" w:space="0" w:color="auto"/>
      </w:divBdr>
    </w:div>
    <w:div w:id="1523669353">
      <w:bodyDiv w:val="1"/>
      <w:marLeft w:val="0"/>
      <w:marRight w:val="0"/>
      <w:marTop w:val="0"/>
      <w:marBottom w:val="0"/>
      <w:divBdr>
        <w:top w:val="none" w:sz="0" w:space="0" w:color="auto"/>
        <w:left w:val="none" w:sz="0" w:space="0" w:color="auto"/>
        <w:bottom w:val="none" w:sz="0" w:space="0" w:color="auto"/>
        <w:right w:val="none" w:sz="0" w:space="0" w:color="auto"/>
      </w:divBdr>
    </w:div>
    <w:div w:id="1526747222">
      <w:bodyDiv w:val="1"/>
      <w:marLeft w:val="0"/>
      <w:marRight w:val="0"/>
      <w:marTop w:val="0"/>
      <w:marBottom w:val="0"/>
      <w:divBdr>
        <w:top w:val="none" w:sz="0" w:space="0" w:color="auto"/>
        <w:left w:val="none" w:sz="0" w:space="0" w:color="auto"/>
        <w:bottom w:val="none" w:sz="0" w:space="0" w:color="auto"/>
        <w:right w:val="none" w:sz="0" w:space="0" w:color="auto"/>
      </w:divBdr>
    </w:div>
    <w:div w:id="1530024659">
      <w:bodyDiv w:val="1"/>
      <w:marLeft w:val="0"/>
      <w:marRight w:val="0"/>
      <w:marTop w:val="0"/>
      <w:marBottom w:val="0"/>
      <w:divBdr>
        <w:top w:val="none" w:sz="0" w:space="0" w:color="auto"/>
        <w:left w:val="none" w:sz="0" w:space="0" w:color="auto"/>
        <w:bottom w:val="none" w:sz="0" w:space="0" w:color="auto"/>
        <w:right w:val="none" w:sz="0" w:space="0" w:color="auto"/>
      </w:divBdr>
    </w:div>
    <w:div w:id="1533878062">
      <w:bodyDiv w:val="1"/>
      <w:marLeft w:val="0"/>
      <w:marRight w:val="0"/>
      <w:marTop w:val="0"/>
      <w:marBottom w:val="0"/>
      <w:divBdr>
        <w:top w:val="none" w:sz="0" w:space="0" w:color="auto"/>
        <w:left w:val="none" w:sz="0" w:space="0" w:color="auto"/>
        <w:bottom w:val="none" w:sz="0" w:space="0" w:color="auto"/>
        <w:right w:val="none" w:sz="0" w:space="0" w:color="auto"/>
      </w:divBdr>
    </w:div>
    <w:div w:id="1537084692">
      <w:bodyDiv w:val="1"/>
      <w:marLeft w:val="0"/>
      <w:marRight w:val="0"/>
      <w:marTop w:val="0"/>
      <w:marBottom w:val="0"/>
      <w:divBdr>
        <w:top w:val="none" w:sz="0" w:space="0" w:color="auto"/>
        <w:left w:val="none" w:sz="0" w:space="0" w:color="auto"/>
        <w:bottom w:val="none" w:sz="0" w:space="0" w:color="auto"/>
        <w:right w:val="none" w:sz="0" w:space="0" w:color="auto"/>
      </w:divBdr>
    </w:div>
    <w:div w:id="1544488437">
      <w:bodyDiv w:val="1"/>
      <w:marLeft w:val="0"/>
      <w:marRight w:val="0"/>
      <w:marTop w:val="0"/>
      <w:marBottom w:val="0"/>
      <w:divBdr>
        <w:top w:val="none" w:sz="0" w:space="0" w:color="auto"/>
        <w:left w:val="none" w:sz="0" w:space="0" w:color="auto"/>
        <w:bottom w:val="none" w:sz="0" w:space="0" w:color="auto"/>
        <w:right w:val="none" w:sz="0" w:space="0" w:color="auto"/>
      </w:divBdr>
    </w:div>
    <w:div w:id="1545096562">
      <w:bodyDiv w:val="1"/>
      <w:marLeft w:val="0"/>
      <w:marRight w:val="0"/>
      <w:marTop w:val="0"/>
      <w:marBottom w:val="0"/>
      <w:divBdr>
        <w:top w:val="none" w:sz="0" w:space="0" w:color="auto"/>
        <w:left w:val="none" w:sz="0" w:space="0" w:color="auto"/>
        <w:bottom w:val="none" w:sz="0" w:space="0" w:color="auto"/>
        <w:right w:val="none" w:sz="0" w:space="0" w:color="auto"/>
      </w:divBdr>
    </w:div>
    <w:div w:id="1549490738">
      <w:bodyDiv w:val="1"/>
      <w:marLeft w:val="0"/>
      <w:marRight w:val="0"/>
      <w:marTop w:val="0"/>
      <w:marBottom w:val="0"/>
      <w:divBdr>
        <w:top w:val="none" w:sz="0" w:space="0" w:color="auto"/>
        <w:left w:val="none" w:sz="0" w:space="0" w:color="auto"/>
        <w:bottom w:val="none" w:sz="0" w:space="0" w:color="auto"/>
        <w:right w:val="none" w:sz="0" w:space="0" w:color="auto"/>
      </w:divBdr>
    </w:div>
    <w:div w:id="1549758946">
      <w:bodyDiv w:val="1"/>
      <w:marLeft w:val="0"/>
      <w:marRight w:val="0"/>
      <w:marTop w:val="0"/>
      <w:marBottom w:val="0"/>
      <w:divBdr>
        <w:top w:val="none" w:sz="0" w:space="0" w:color="auto"/>
        <w:left w:val="none" w:sz="0" w:space="0" w:color="auto"/>
        <w:bottom w:val="none" w:sz="0" w:space="0" w:color="auto"/>
        <w:right w:val="none" w:sz="0" w:space="0" w:color="auto"/>
      </w:divBdr>
    </w:div>
    <w:div w:id="1558006107">
      <w:bodyDiv w:val="1"/>
      <w:marLeft w:val="0"/>
      <w:marRight w:val="0"/>
      <w:marTop w:val="0"/>
      <w:marBottom w:val="0"/>
      <w:divBdr>
        <w:top w:val="none" w:sz="0" w:space="0" w:color="auto"/>
        <w:left w:val="none" w:sz="0" w:space="0" w:color="auto"/>
        <w:bottom w:val="none" w:sz="0" w:space="0" w:color="auto"/>
        <w:right w:val="none" w:sz="0" w:space="0" w:color="auto"/>
      </w:divBdr>
    </w:div>
    <w:div w:id="1562640814">
      <w:bodyDiv w:val="1"/>
      <w:marLeft w:val="0"/>
      <w:marRight w:val="0"/>
      <w:marTop w:val="0"/>
      <w:marBottom w:val="0"/>
      <w:divBdr>
        <w:top w:val="none" w:sz="0" w:space="0" w:color="auto"/>
        <w:left w:val="none" w:sz="0" w:space="0" w:color="auto"/>
        <w:bottom w:val="none" w:sz="0" w:space="0" w:color="auto"/>
        <w:right w:val="none" w:sz="0" w:space="0" w:color="auto"/>
      </w:divBdr>
    </w:div>
    <w:div w:id="1564831976">
      <w:bodyDiv w:val="1"/>
      <w:marLeft w:val="0"/>
      <w:marRight w:val="0"/>
      <w:marTop w:val="0"/>
      <w:marBottom w:val="0"/>
      <w:divBdr>
        <w:top w:val="none" w:sz="0" w:space="0" w:color="auto"/>
        <w:left w:val="none" w:sz="0" w:space="0" w:color="auto"/>
        <w:bottom w:val="none" w:sz="0" w:space="0" w:color="auto"/>
        <w:right w:val="none" w:sz="0" w:space="0" w:color="auto"/>
      </w:divBdr>
    </w:div>
    <w:div w:id="1567495818">
      <w:bodyDiv w:val="1"/>
      <w:marLeft w:val="0"/>
      <w:marRight w:val="0"/>
      <w:marTop w:val="0"/>
      <w:marBottom w:val="0"/>
      <w:divBdr>
        <w:top w:val="none" w:sz="0" w:space="0" w:color="auto"/>
        <w:left w:val="none" w:sz="0" w:space="0" w:color="auto"/>
        <w:bottom w:val="none" w:sz="0" w:space="0" w:color="auto"/>
        <w:right w:val="none" w:sz="0" w:space="0" w:color="auto"/>
      </w:divBdr>
    </w:div>
    <w:div w:id="1568153974">
      <w:bodyDiv w:val="1"/>
      <w:marLeft w:val="0"/>
      <w:marRight w:val="0"/>
      <w:marTop w:val="0"/>
      <w:marBottom w:val="0"/>
      <w:divBdr>
        <w:top w:val="none" w:sz="0" w:space="0" w:color="auto"/>
        <w:left w:val="none" w:sz="0" w:space="0" w:color="auto"/>
        <w:bottom w:val="none" w:sz="0" w:space="0" w:color="auto"/>
        <w:right w:val="none" w:sz="0" w:space="0" w:color="auto"/>
      </w:divBdr>
    </w:div>
    <w:div w:id="1575892623">
      <w:bodyDiv w:val="1"/>
      <w:marLeft w:val="0"/>
      <w:marRight w:val="0"/>
      <w:marTop w:val="0"/>
      <w:marBottom w:val="0"/>
      <w:divBdr>
        <w:top w:val="none" w:sz="0" w:space="0" w:color="auto"/>
        <w:left w:val="none" w:sz="0" w:space="0" w:color="auto"/>
        <w:bottom w:val="none" w:sz="0" w:space="0" w:color="auto"/>
        <w:right w:val="none" w:sz="0" w:space="0" w:color="auto"/>
      </w:divBdr>
    </w:div>
    <w:div w:id="1581408572">
      <w:bodyDiv w:val="1"/>
      <w:marLeft w:val="0"/>
      <w:marRight w:val="0"/>
      <w:marTop w:val="0"/>
      <w:marBottom w:val="0"/>
      <w:divBdr>
        <w:top w:val="none" w:sz="0" w:space="0" w:color="auto"/>
        <w:left w:val="none" w:sz="0" w:space="0" w:color="auto"/>
        <w:bottom w:val="none" w:sz="0" w:space="0" w:color="auto"/>
        <w:right w:val="none" w:sz="0" w:space="0" w:color="auto"/>
      </w:divBdr>
    </w:div>
    <w:div w:id="1591545918">
      <w:bodyDiv w:val="1"/>
      <w:marLeft w:val="0"/>
      <w:marRight w:val="0"/>
      <w:marTop w:val="0"/>
      <w:marBottom w:val="0"/>
      <w:divBdr>
        <w:top w:val="none" w:sz="0" w:space="0" w:color="auto"/>
        <w:left w:val="none" w:sz="0" w:space="0" w:color="auto"/>
        <w:bottom w:val="none" w:sz="0" w:space="0" w:color="auto"/>
        <w:right w:val="none" w:sz="0" w:space="0" w:color="auto"/>
      </w:divBdr>
    </w:div>
    <w:div w:id="1601524733">
      <w:bodyDiv w:val="1"/>
      <w:marLeft w:val="0"/>
      <w:marRight w:val="0"/>
      <w:marTop w:val="0"/>
      <w:marBottom w:val="0"/>
      <w:divBdr>
        <w:top w:val="none" w:sz="0" w:space="0" w:color="auto"/>
        <w:left w:val="none" w:sz="0" w:space="0" w:color="auto"/>
        <w:bottom w:val="none" w:sz="0" w:space="0" w:color="auto"/>
        <w:right w:val="none" w:sz="0" w:space="0" w:color="auto"/>
      </w:divBdr>
    </w:div>
    <w:div w:id="1607040815">
      <w:bodyDiv w:val="1"/>
      <w:marLeft w:val="0"/>
      <w:marRight w:val="0"/>
      <w:marTop w:val="0"/>
      <w:marBottom w:val="0"/>
      <w:divBdr>
        <w:top w:val="none" w:sz="0" w:space="0" w:color="auto"/>
        <w:left w:val="none" w:sz="0" w:space="0" w:color="auto"/>
        <w:bottom w:val="none" w:sz="0" w:space="0" w:color="auto"/>
        <w:right w:val="none" w:sz="0" w:space="0" w:color="auto"/>
      </w:divBdr>
      <w:divsChild>
        <w:div w:id="1413772442">
          <w:marLeft w:val="1008"/>
          <w:marRight w:val="0"/>
          <w:marTop w:val="40"/>
          <w:marBottom w:val="0"/>
          <w:divBdr>
            <w:top w:val="none" w:sz="0" w:space="0" w:color="auto"/>
            <w:left w:val="none" w:sz="0" w:space="0" w:color="auto"/>
            <w:bottom w:val="none" w:sz="0" w:space="0" w:color="auto"/>
            <w:right w:val="none" w:sz="0" w:space="0" w:color="auto"/>
          </w:divBdr>
        </w:div>
        <w:div w:id="1566531922">
          <w:marLeft w:val="288"/>
          <w:marRight w:val="0"/>
          <w:marTop w:val="40"/>
          <w:marBottom w:val="0"/>
          <w:divBdr>
            <w:top w:val="none" w:sz="0" w:space="0" w:color="auto"/>
            <w:left w:val="none" w:sz="0" w:space="0" w:color="auto"/>
            <w:bottom w:val="none" w:sz="0" w:space="0" w:color="auto"/>
            <w:right w:val="none" w:sz="0" w:space="0" w:color="auto"/>
          </w:divBdr>
        </w:div>
      </w:divsChild>
    </w:div>
    <w:div w:id="1608462247">
      <w:bodyDiv w:val="1"/>
      <w:marLeft w:val="0"/>
      <w:marRight w:val="0"/>
      <w:marTop w:val="0"/>
      <w:marBottom w:val="0"/>
      <w:divBdr>
        <w:top w:val="none" w:sz="0" w:space="0" w:color="auto"/>
        <w:left w:val="none" w:sz="0" w:space="0" w:color="auto"/>
        <w:bottom w:val="none" w:sz="0" w:space="0" w:color="auto"/>
        <w:right w:val="none" w:sz="0" w:space="0" w:color="auto"/>
      </w:divBdr>
    </w:div>
    <w:div w:id="1614164350">
      <w:bodyDiv w:val="1"/>
      <w:marLeft w:val="0"/>
      <w:marRight w:val="0"/>
      <w:marTop w:val="0"/>
      <w:marBottom w:val="0"/>
      <w:divBdr>
        <w:top w:val="none" w:sz="0" w:space="0" w:color="auto"/>
        <w:left w:val="none" w:sz="0" w:space="0" w:color="auto"/>
        <w:bottom w:val="none" w:sz="0" w:space="0" w:color="auto"/>
        <w:right w:val="none" w:sz="0" w:space="0" w:color="auto"/>
      </w:divBdr>
    </w:div>
    <w:div w:id="1614554062">
      <w:bodyDiv w:val="1"/>
      <w:marLeft w:val="0"/>
      <w:marRight w:val="0"/>
      <w:marTop w:val="0"/>
      <w:marBottom w:val="0"/>
      <w:divBdr>
        <w:top w:val="none" w:sz="0" w:space="0" w:color="auto"/>
        <w:left w:val="none" w:sz="0" w:space="0" w:color="auto"/>
        <w:bottom w:val="none" w:sz="0" w:space="0" w:color="auto"/>
        <w:right w:val="none" w:sz="0" w:space="0" w:color="auto"/>
      </w:divBdr>
    </w:div>
    <w:div w:id="1625430764">
      <w:bodyDiv w:val="1"/>
      <w:marLeft w:val="0"/>
      <w:marRight w:val="0"/>
      <w:marTop w:val="0"/>
      <w:marBottom w:val="0"/>
      <w:divBdr>
        <w:top w:val="none" w:sz="0" w:space="0" w:color="auto"/>
        <w:left w:val="none" w:sz="0" w:space="0" w:color="auto"/>
        <w:bottom w:val="none" w:sz="0" w:space="0" w:color="auto"/>
        <w:right w:val="none" w:sz="0" w:space="0" w:color="auto"/>
      </w:divBdr>
      <w:divsChild>
        <w:div w:id="5179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967052">
      <w:bodyDiv w:val="1"/>
      <w:marLeft w:val="0"/>
      <w:marRight w:val="0"/>
      <w:marTop w:val="0"/>
      <w:marBottom w:val="0"/>
      <w:divBdr>
        <w:top w:val="none" w:sz="0" w:space="0" w:color="auto"/>
        <w:left w:val="none" w:sz="0" w:space="0" w:color="auto"/>
        <w:bottom w:val="none" w:sz="0" w:space="0" w:color="auto"/>
        <w:right w:val="none" w:sz="0" w:space="0" w:color="auto"/>
      </w:divBdr>
    </w:div>
    <w:div w:id="1626425444">
      <w:bodyDiv w:val="1"/>
      <w:marLeft w:val="0"/>
      <w:marRight w:val="0"/>
      <w:marTop w:val="0"/>
      <w:marBottom w:val="0"/>
      <w:divBdr>
        <w:top w:val="none" w:sz="0" w:space="0" w:color="auto"/>
        <w:left w:val="none" w:sz="0" w:space="0" w:color="auto"/>
        <w:bottom w:val="none" w:sz="0" w:space="0" w:color="auto"/>
        <w:right w:val="none" w:sz="0" w:space="0" w:color="auto"/>
      </w:divBdr>
    </w:div>
    <w:div w:id="1627392812">
      <w:bodyDiv w:val="1"/>
      <w:marLeft w:val="0"/>
      <w:marRight w:val="0"/>
      <w:marTop w:val="0"/>
      <w:marBottom w:val="0"/>
      <w:divBdr>
        <w:top w:val="none" w:sz="0" w:space="0" w:color="auto"/>
        <w:left w:val="none" w:sz="0" w:space="0" w:color="auto"/>
        <w:bottom w:val="none" w:sz="0" w:space="0" w:color="auto"/>
        <w:right w:val="none" w:sz="0" w:space="0" w:color="auto"/>
      </w:divBdr>
    </w:div>
    <w:div w:id="1629972104">
      <w:bodyDiv w:val="1"/>
      <w:marLeft w:val="0"/>
      <w:marRight w:val="0"/>
      <w:marTop w:val="0"/>
      <w:marBottom w:val="0"/>
      <w:divBdr>
        <w:top w:val="none" w:sz="0" w:space="0" w:color="auto"/>
        <w:left w:val="none" w:sz="0" w:space="0" w:color="auto"/>
        <w:bottom w:val="none" w:sz="0" w:space="0" w:color="auto"/>
        <w:right w:val="none" w:sz="0" w:space="0" w:color="auto"/>
      </w:divBdr>
    </w:div>
    <w:div w:id="1630160478">
      <w:bodyDiv w:val="1"/>
      <w:marLeft w:val="0"/>
      <w:marRight w:val="0"/>
      <w:marTop w:val="0"/>
      <w:marBottom w:val="0"/>
      <w:divBdr>
        <w:top w:val="none" w:sz="0" w:space="0" w:color="auto"/>
        <w:left w:val="none" w:sz="0" w:space="0" w:color="auto"/>
        <w:bottom w:val="none" w:sz="0" w:space="0" w:color="auto"/>
        <w:right w:val="none" w:sz="0" w:space="0" w:color="auto"/>
      </w:divBdr>
    </w:div>
    <w:div w:id="1635284819">
      <w:bodyDiv w:val="1"/>
      <w:marLeft w:val="0"/>
      <w:marRight w:val="0"/>
      <w:marTop w:val="0"/>
      <w:marBottom w:val="0"/>
      <w:divBdr>
        <w:top w:val="none" w:sz="0" w:space="0" w:color="auto"/>
        <w:left w:val="none" w:sz="0" w:space="0" w:color="auto"/>
        <w:bottom w:val="none" w:sz="0" w:space="0" w:color="auto"/>
        <w:right w:val="none" w:sz="0" w:space="0" w:color="auto"/>
      </w:divBdr>
    </w:div>
    <w:div w:id="1642730232">
      <w:bodyDiv w:val="1"/>
      <w:marLeft w:val="0"/>
      <w:marRight w:val="0"/>
      <w:marTop w:val="0"/>
      <w:marBottom w:val="0"/>
      <w:divBdr>
        <w:top w:val="none" w:sz="0" w:space="0" w:color="auto"/>
        <w:left w:val="none" w:sz="0" w:space="0" w:color="auto"/>
        <w:bottom w:val="none" w:sz="0" w:space="0" w:color="auto"/>
        <w:right w:val="none" w:sz="0" w:space="0" w:color="auto"/>
      </w:divBdr>
      <w:divsChild>
        <w:div w:id="191965016">
          <w:marLeft w:val="0"/>
          <w:marRight w:val="0"/>
          <w:marTop w:val="0"/>
          <w:marBottom w:val="0"/>
          <w:divBdr>
            <w:top w:val="none" w:sz="0" w:space="0" w:color="auto"/>
            <w:left w:val="none" w:sz="0" w:space="0" w:color="auto"/>
            <w:bottom w:val="none" w:sz="0" w:space="0" w:color="auto"/>
            <w:right w:val="none" w:sz="0" w:space="0" w:color="auto"/>
          </w:divBdr>
        </w:div>
        <w:div w:id="1612007926">
          <w:marLeft w:val="0"/>
          <w:marRight w:val="0"/>
          <w:marTop w:val="0"/>
          <w:marBottom w:val="0"/>
          <w:divBdr>
            <w:top w:val="none" w:sz="0" w:space="0" w:color="auto"/>
            <w:left w:val="none" w:sz="0" w:space="0" w:color="auto"/>
            <w:bottom w:val="none" w:sz="0" w:space="0" w:color="auto"/>
            <w:right w:val="none" w:sz="0" w:space="0" w:color="auto"/>
          </w:divBdr>
        </w:div>
        <w:div w:id="2095202197">
          <w:marLeft w:val="0"/>
          <w:marRight w:val="0"/>
          <w:marTop w:val="0"/>
          <w:marBottom w:val="0"/>
          <w:divBdr>
            <w:top w:val="none" w:sz="0" w:space="0" w:color="auto"/>
            <w:left w:val="none" w:sz="0" w:space="0" w:color="auto"/>
            <w:bottom w:val="none" w:sz="0" w:space="0" w:color="auto"/>
            <w:right w:val="none" w:sz="0" w:space="0" w:color="auto"/>
          </w:divBdr>
        </w:div>
        <w:div w:id="2129154136">
          <w:marLeft w:val="0"/>
          <w:marRight w:val="0"/>
          <w:marTop w:val="0"/>
          <w:marBottom w:val="0"/>
          <w:divBdr>
            <w:top w:val="none" w:sz="0" w:space="0" w:color="auto"/>
            <w:left w:val="none" w:sz="0" w:space="0" w:color="auto"/>
            <w:bottom w:val="none" w:sz="0" w:space="0" w:color="auto"/>
            <w:right w:val="none" w:sz="0" w:space="0" w:color="auto"/>
          </w:divBdr>
        </w:div>
      </w:divsChild>
    </w:div>
    <w:div w:id="1643460680">
      <w:bodyDiv w:val="1"/>
      <w:marLeft w:val="0"/>
      <w:marRight w:val="0"/>
      <w:marTop w:val="0"/>
      <w:marBottom w:val="0"/>
      <w:divBdr>
        <w:top w:val="none" w:sz="0" w:space="0" w:color="auto"/>
        <w:left w:val="none" w:sz="0" w:space="0" w:color="auto"/>
        <w:bottom w:val="none" w:sz="0" w:space="0" w:color="auto"/>
        <w:right w:val="none" w:sz="0" w:space="0" w:color="auto"/>
      </w:divBdr>
    </w:div>
    <w:div w:id="1652828026">
      <w:bodyDiv w:val="1"/>
      <w:marLeft w:val="0"/>
      <w:marRight w:val="0"/>
      <w:marTop w:val="0"/>
      <w:marBottom w:val="0"/>
      <w:divBdr>
        <w:top w:val="none" w:sz="0" w:space="0" w:color="auto"/>
        <w:left w:val="none" w:sz="0" w:space="0" w:color="auto"/>
        <w:bottom w:val="none" w:sz="0" w:space="0" w:color="auto"/>
        <w:right w:val="none" w:sz="0" w:space="0" w:color="auto"/>
      </w:divBdr>
    </w:div>
    <w:div w:id="1653487690">
      <w:bodyDiv w:val="1"/>
      <w:marLeft w:val="0"/>
      <w:marRight w:val="0"/>
      <w:marTop w:val="0"/>
      <w:marBottom w:val="0"/>
      <w:divBdr>
        <w:top w:val="none" w:sz="0" w:space="0" w:color="auto"/>
        <w:left w:val="none" w:sz="0" w:space="0" w:color="auto"/>
        <w:bottom w:val="none" w:sz="0" w:space="0" w:color="auto"/>
        <w:right w:val="none" w:sz="0" w:space="0" w:color="auto"/>
      </w:divBdr>
    </w:div>
    <w:div w:id="1655798447">
      <w:bodyDiv w:val="1"/>
      <w:marLeft w:val="0"/>
      <w:marRight w:val="0"/>
      <w:marTop w:val="0"/>
      <w:marBottom w:val="0"/>
      <w:divBdr>
        <w:top w:val="none" w:sz="0" w:space="0" w:color="auto"/>
        <w:left w:val="none" w:sz="0" w:space="0" w:color="auto"/>
        <w:bottom w:val="none" w:sz="0" w:space="0" w:color="auto"/>
        <w:right w:val="none" w:sz="0" w:space="0" w:color="auto"/>
      </w:divBdr>
    </w:div>
    <w:div w:id="1661350468">
      <w:bodyDiv w:val="1"/>
      <w:marLeft w:val="0"/>
      <w:marRight w:val="0"/>
      <w:marTop w:val="0"/>
      <w:marBottom w:val="0"/>
      <w:divBdr>
        <w:top w:val="none" w:sz="0" w:space="0" w:color="auto"/>
        <w:left w:val="none" w:sz="0" w:space="0" w:color="auto"/>
        <w:bottom w:val="none" w:sz="0" w:space="0" w:color="auto"/>
        <w:right w:val="none" w:sz="0" w:space="0" w:color="auto"/>
      </w:divBdr>
    </w:div>
    <w:div w:id="1673138536">
      <w:bodyDiv w:val="1"/>
      <w:marLeft w:val="0"/>
      <w:marRight w:val="0"/>
      <w:marTop w:val="0"/>
      <w:marBottom w:val="0"/>
      <w:divBdr>
        <w:top w:val="none" w:sz="0" w:space="0" w:color="auto"/>
        <w:left w:val="none" w:sz="0" w:space="0" w:color="auto"/>
        <w:bottom w:val="none" w:sz="0" w:space="0" w:color="auto"/>
        <w:right w:val="none" w:sz="0" w:space="0" w:color="auto"/>
      </w:divBdr>
    </w:div>
    <w:div w:id="1674721439">
      <w:bodyDiv w:val="1"/>
      <w:marLeft w:val="0"/>
      <w:marRight w:val="0"/>
      <w:marTop w:val="0"/>
      <w:marBottom w:val="0"/>
      <w:divBdr>
        <w:top w:val="none" w:sz="0" w:space="0" w:color="auto"/>
        <w:left w:val="none" w:sz="0" w:space="0" w:color="auto"/>
        <w:bottom w:val="none" w:sz="0" w:space="0" w:color="auto"/>
        <w:right w:val="none" w:sz="0" w:space="0" w:color="auto"/>
      </w:divBdr>
    </w:div>
    <w:div w:id="1676031374">
      <w:bodyDiv w:val="1"/>
      <w:marLeft w:val="0"/>
      <w:marRight w:val="0"/>
      <w:marTop w:val="0"/>
      <w:marBottom w:val="0"/>
      <w:divBdr>
        <w:top w:val="none" w:sz="0" w:space="0" w:color="auto"/>
        <w:left w:val="none" w:sz="0" w:space="0" w:color="auto"/>
        <w:bottom w:val="none" w:sz="0" w:space="0" w:color="auto"/>
        <w:right w:val="none" w:sz="0" w:space="0" w:color="auto"/>
      </w:divBdr>
    </w:div>
    <w:div w:id="1677995243">
      <w:bodyDiv w:val="1"/>
      <w:marLeft w:val="0"/>
      <w:marRight w:val="0"/>
      <w:marTop w:val="0"/>
      <w:marBottom w:val="0"/>
      <w:divBdr>
        <w:top w:val="none" w:sz="0" w:space="0" w:color="auto"/>
        <w:left w:val="none" w:sz="0" w:space="0" w:color="auto"/>
        <w:bottom w:val="none" w:sz="0" w:space="0" w:color="auto"/>
        <w:right w:val="none" w:sz="0" w:space="0" w:color="auto"/>
      </w:divBdr>
    </w:div>
    <w:div w:id="1678189408">
      <w:bodyDiv w:val="1"/>
      <w:marLeft w:val="0"/>
      <w:marRight w:val="0"/>
      <w:marTop w:val="0"/>
      <w:marBottom w:val="0"/>
      <w:divBdr>
        <w:top w:val="none" w:sz="0" w:space="0" w:color="auto"/>
        <w:left w:val="none" w:sz="0" w:space="0" w:color="auto"/>
        <w:bottom w:val="none" w:sz="0" w:space="0" w:color="auto"/>
        <w:right w:val="none" w:sz="0" w:space="0" w:color="auto"/>
      </w:divBdr>
    </w:div>
    <w:div w:id="1681203939">
      <w:bodyDiv w:val="1"/>
      <w:marLeft w:val="0"/>
      <w:marRight w:val="0"/>
      <w:marTop w:val="0"/>
      <w:marBottom w:val="0"/>
      <w:divBdr>
        <w:top w:val="none" w:sz="0" w:space="0" w:color="auto"/>
        <w:left w:val="none" w:sz="0" w:space="0" w:color="auto"/>
        <w:bottom w:val="none" w:sz="0" w:space="0" w:color="auto"/>
        <w:right w:val="none" w:sz="0" w:space="0" w:color="auto"/>
      </w:divBdr>
    </w:div>
    <w:div w:id="1683389400">
      <w:bodyDiv w:val="1"/>
      <w:marLeft w:val="0"/>
      <w:marRight w:val="0"/>
      <w:marTop w:val="0"/>
      <w:marBottom w:val="0"/>
      <w:divBdr>
        <w:top w:val="none" w:sz="0" w:space="0" w:color="auto"/>
        <w:left w:val="none" w:sz="0" w:space="0" w:color="auto"/>
        <w:bottom w:val="none" w:sz="0" w:space="0" w:color="auto"/>
        <w:right w:val="none" w:sz="0" w:space="0" w:color="auto"/>
      </w:divBdr>
    </w:div>
    <w:div w:id="1685477684">
      <w:bodyDiv w:val="1"/>
      <w:marLeft w:val="0"/>
      <w:marRight w:val="0"/>
      <w:marTop w:val="0"/>
      <w:marBottom w:val="0"/>
      <w:divBdr>
        <w:top w:val="none" w:sz="0" w:space="0" w:color="auto"/>
        <w:left w:val="none" w:sz="0" w:space="0" w:color="auto"/>
        <w:bottom w:val="none" w:sz="0" w:space="0" w:color="auto"/>
        <w:right w:val="none" w:sz="0" w:space="0" w:color="auto"/>
      </w:divBdr>
    </w:div>
    <w:div w:id="1687518242">
      <w:bodyDiv w:val="1"/>
      <w:marLeft w:val="0"/>
      <w:marRight w:val="0"/>
      <w:marTop w:val="0"/>
      <w:marBottom w:val="0"/>
      <w:divBdr>
        <w:top w:val="none" w:sz="0" w:space="0" w:color="auto"/>
        <w:left w:val="none" w:sz="0" w:space="0" w:color="auto"/>
        <w:bottom w:val="none" w:sz="0" w:space="0" w:color="auto"/>
        <w:right w:val="none" w:sz="0" w:space="0" w:color="auto"/>
      </w:divBdr>
    </w:div>
    <w:div w:id="1691222469">
      <w:bodyDiv w:val="1"/>
      <w:marLeft w:val="0"/>
      <w:marRight w:val="0"/>
      <w:marTop w:val="0"/>
      <w:marBottom w:val="0"/>
      <w:divBdr>
        <w:top w:val="none" w:sz="0" w:space="0" w:color="auto"/>
        <w:left w:val="none" w:sz="0" w:space="0" w:color="auto"/>
        <w:bottom w:val="none" w:sz="0" w:space="0" w:color="auto"/>
        <w:right w:val="none" w:sz="0" w:space="0" w:color="auto"/>
      </w:divBdr>
    </w:div>
    <w:div w:id="1695301753">
      <w:bodyDiv w:val="1"/>
      <w:marLeft w:val="0"/>
      <w:marRight w:val="0"/>
      <w:marTop w:val="0"/>
      <w:marBottom w:val="0"/>
      <w:divBdr>
        <w:top w:val="none" w:sz="0" w:space="0" w:color="auto"/>
        <w:left w:val="none" w:sz="0" w:space="0" w:color="auto"/>
        <w:bottom w:val="none" w:sz="0" w:space="0" w:color="auto"/>
        <w:right w:val="none" w:sz="0" w:space="0" w:color="auto"/>
      </w:divBdr>
    </w:div>
    <w:div w:id="1696419935">
      <w:bodyDiv w:val="1"/>
      <w:marLeft w:val="0"/>
      <w:marRight w:val="0"/>
      <w:marTop w:val="0"/>
      <w:marBottom w:val="0"/>
      <w:divBdr>
        <w:top w:val="none" w:sz="0" w:space="0" w:color="auto"/>
        <w:left w:val="none" w:sz="0" w:space="0" w:color="auto"/>
        <w:bottom w:val="none" w:sz="0" w:space="0" w:color="auto"/>
        <w:right w:val="none" w:sz="0" w:space="0" w:color="auto"/>
      </w:divBdr>
    </w:div>
    <w:div w:id="1703289218">
      <w:bodyDiv w:val="1"/>
      <w:marLeft w:val="0"/>
      <w:marRight w:val="0"/>
      <w:marTop w:val="0"/>
      <w:marBottom w:val="0"/>
      <w:divBdr>
        <w:top w:val="none" w:sz="0" w:space="0" w:color="auto"/>
        <w:left w:val="none" w:sz="0" w:space="0" w:color="auto"/>
        <w:bottom w:val="none" w:sz="0" w:space="0" w:color="auto"/>
        <w:right w:val="none" w:sz="0" w:space="0" w:color="auto"/>
      </w:divBdr>
    </w:div>
    <w:div w:id="1705136902">
      <w:bodyDiv w:val="1"/>
      <w:marLeft w:val="0"/>
      <w:marRight w:val="0"/>
      <w:marTop w:val="0"/>
      <w:marBottom w:val="0"/>
      <w:divBdr>
        <w:top w:val="none" w:sz="0" w:space="0" w:color="auto"/>
        <w:left w:val="none" w:sz="0" w:space="0" w:color="auto"/>
        <w:bottom w:val="none" w:sz="0" w:space="0" w:color="auto"/>
        <w:right w:val="none" w:sz="0" w:space="0" w:color="auto"/>
      </w:divBdr>
    </w:div>
    <w:div w:id="1708528429">
      <w:bodyDiv w:val="1"/>
      <w:marLeft w:val="0"/>
      <w:marRight w:val="0"/>
      <w:marTop w:val="0"/>
      <w:marBottom w:val="0"/>
      <w:divBdr>
        <w:top w:val="none" w:sz="0" w:space="0" w:color="auto"/>
        <w:left w:val="none" w:sz="0" w:space="0" w:color="auto"/>
        <w:bottom w:val="none" w:sz="0" w:space="0" w:color="auto"/>
        <w:right w:val="none" w:sz="0" w:space="0" w:color="auto"/>
      </w:divBdr>
    </w:div>
    <w:div w:id="1710644192">
      <w:bodyDiv w:val="1"/>
      <w:marLeft w:val="0"/>
      <w:marRight w:val="0"/>
      <w:marTop w:val="0"/>
      <w:marBottom w:val="0"/>
      <w:divBdr>
        <w:top w:val="none" w:sz="0" w:space="0" w:color="auto"/>
        <w:left w:val="none" w:sz="0" w:space="0" w:color="auto"/>
        <w:bottom w:val="none" w:sz="0" w:space="0" w:color="auto"/>
        <w:right w:val="none" w:sz="0" w:space="0" w:color="auto"/>
      </w:divBdr>
    </w:div>
    <w:div w:id="1717005510">
      <w:bodyDiv w:val="1"/>
      <w:marLeft w:val="0"/>
      <w:marRight w:val="0"/>
      <w:marTop w:val="0"/>
      <w:marBottom w:val="0"/>
      <w:divBdr>
        <w:top w:val="none" w:sz="0" w:space="0" w:color="auto"/>
        <w:left w:val="none" w:sz="0" w:space="0" w:color="auto"/>
        <w:bottom w:val="none" w:sz="0" w:space="0" w:color="auto"/>
        <w:right w:val="none" w:sz="0" w:space="0" w:color="auto"/>
      </w:divBdr>
    </w:div>
    <w:div w:id="1721173209">
      <w:bodyDiv w:val="1"/>
      <w:marLeft w:val="0"/>
      <w:marRight w:val="0"/>
      <w:marTop w:val="0"/>
      <w:marBottom w:val="0"/>
      <w:divBdr>
        <w:top w:val="none" w:sz="0" w:space="0" w:color="auto"/>
        <w:left w:val="none" w:sz="0" w:space="0" w:color="auto"/>
        <w:bottom w:val="none" w:sz="0" w:space="0" w:color="auto"/>
        <w:right w:val="none" w:sz="0" w:space="0" w:color="auto"/>
      </w:divBdr>
    </w:div>
    <w:div w:id="1724669948">
      <w:bodyDiv w:val="1"/>
      <w:marLeft w:val="0"/>
      <w:marRight w:val="0"/>
      <w:marTop w:val="0"/>
      <w:marBottom w:val="0"/>
      <w:divBdr>
        <w:top w:val="none" w:sz="0" w:space="0" w:color="auto"/>
        <w:left w:val="none" w:sz="0" w:space="0" w:color="auto"/>
        <w:bottom w:val="none" w:sz="0" w:space="0" w:color="auto"/>
        <w:right w:val="none" w:sz="0" w:space="0" w:color="auto"/>
      </w:divBdr>
    </w:div>
    <w:div w:id="1732970023">
      <w:bodyDiv w:val="1"/>
      <w:marLeft w:val="0"/>
      <w:marRight w:val="0"/>
      <w:marTop w:val="0"/>
      <w:marBottom w:val="0"/>
      <w:divBdr>
        <w:top w:val="none" w:sz="0" w:space="0" w:color="auto"/>
        <w:left w:val="none" w:sz="0" w:space="0" w:color="auto"/>
        <w:bottom w:val="none" w:sz="0" w:space="0" w:color="auto"/>
        <w:right w:val="none" w:sz="0" w:space="0" w:color="auto"/>
      </w:divBdr>
    </w:div>
    <w:div w:id="1743015966">
      <w:bodyDiv w:val="1"/>
      <w:marLeft w:val="0"/>
      <w:marRight w:val="0"/>
      <w:marTop w:val="0"/>
      <w:marBottom w:val="0"/>
      <w:divBdr>
        <w:top w:val="none" w:sz="0" w:space="0" w:color="auto"/>
        <w:left w:val="none" w:sz="0" w:space="0" w:color="auto"/>
        <w:bottom w:val="none" w:sz="0" w:space="0" w:color="auto"/>
        <w:right w:val="none" w:sz="0" w:space="0" w:color="auto"/>
      </w:divBdr>
    </w:div>
    <w:div w:id="1752046234">
      <w:bodyDiv w:val="1"/>
      <w:marLeft w:val="0"/>
      <w:marRight w:val="0"/>
      <w:marTop w:val="0"/>
      <w:marBottom w:val="0"/>
      <w:divBdr>
        <w:top w:val="none" w:sz="0" w:space="0" w:color="auto"/>
        <w:left w:val="none" w:sz="0" w:space="0" w:color="auto"/>
        <w:bottom w:val="none" w:sz="0" w:space="0" w:color="auto"/>
        <w:right w:val="none" w:sz="0" w:space="0" w:color="auto"/>
      </w:divBdr>
    </w:div>
    <w:div w:id="1761639145">
      <w:bodyDiv w:val="1"/>
      <w:marLeft w:val="0"/>
      <w:marRight w:val="0"/>
      <w:marTop w:val="0"/>
      <w:marBottom w:val="0"/>
      <w:divBdr>
        <w:top w:val="none" w:sz="0" w:space="0" w:color="auto"/>
        <w:left w:val="none" w:sz="0" w:space="0" w:color="auto"/>
        <w:bottom w:val="none" w:sz="0" w:space="0" w:color="auto"/>
        <w:right w:val="none" w:sz="0" w:space="0" w:color="auto"/>
      </w:divBdr>
    </w:div>
    <w:div w:id="1766344133">
      <w:bodyDiv w:val="1"/>
      <w:marLeft w:val="0"/>
      <w:marRight w:val="0"/>
      <w:marTop w:val="0"/>
      <w:marBottom w:val="0"/>
      <w:divBdr>
        <w:top w:val="none" w:sz="0" w:space="0" w:color="auto"/>
        <w:left w:val="none" w:sz="0" w:space="0" w:color="auto"/>
        <w:bottom w:val="none" w:sz="0" w:space="0" w:color="auto"/>
        <w:right w:val="none" w:sz="0" w:space="0" w:color="auto"/>
      </w:divBdr>
    </w:div>
    <w:div w:id="1767264804">
      <w:bodyDiv w:val="1"/>
      <w:marLeft w:val="0"/>
      <w:marRight w:val="0"/>
      <w:marTop w:val="0"/>
      <w:marBottom w:val="0"/>
      <w:divBdr>
        <w:top w:val="none" w:sz="0" w:space="0" w:color="auto"/>
        <w:left w:val="none" w:sz="0" w:space="0" w:color="auto"/>
        <w:bottom w:val="none" w:sz="0" w:space="0" w:color="auto"/>
        <w:right w:val="none" w:sz="0" w:space="0" w:color="auto"/>
      </w:divBdr>
    </w:div>
    <w:div w:id="1767530753">
      <w:bodyDiv w:val="1"/>
      <w:marLeft w:val="0"/>
      <w:marRight w:val="0"/>
      <w:marTop w:val="0"/>
      <w:marBottom w:val="0"/>
      <w:divBdr>
        <w:top w:val="none" w:sz="0" w:space="0" w:color="auto"/>
        <w:left w:val="none" w:sz="0" w:space="0" w:color="auto"/>
        <w:bottom w:val="none" w:sz="0" w:space="0" w:color="auto"/>
        <w:right w:val="none" w:sz="0" w:space="0" w:color="auto"/>
      </w:divBdr>
    </w:div>
    <w:div w:id="1768497578">
      <w:bodyDiv w:val="1"/>
      <w:marLeft w:val="0"/>
      <w:marRight w:val="0"/>
      <w:marTop w:val="0"/>
      <w:marBottom w:val="0"/>
      <w:divBdr>
        <w:top w:val="none" w:sz="0" w:space="0" w:color="auto"/>
        <w:left w:val="none" w:sz="0" w:space="0" w:color="auto"/>
        <w:bottom w:val="none" w:sz="0" w:space="0" w:color="auto"/>
        <w:right w:val="none" w:sz="0" w:space="0" w:color="auto"/>
      </w:divBdr>
    </w:div>
    <w:div w:id="1769229030">
      <w:bodyDiv w:val="1"/>
      <w:marLeft w:val="0"/>
      <w:marRight w:val="0"/>
      <w:marTop w:val="0"/>
      <w:marBottom w:val="0"/>
      <w:divBdr>
        <w:top w:val="none" w:sz="0" w:space="0" w:color="auto"/>
        <w:left w:val="none" w:sz="0" w:space="0" w:color="auto"/>
        <w:bottom w:val="none" w:sz="0" w:space="0" w:color="auto"/>
        <w:right w:val="none" w:sz="0" w:space="0" w:color="auto"/>
      </w:divBdr>
    </w:div>
    <w:div w:id="1770465250">
      <w:bodyDiv w:val="1"/>
      <w:marLeft w:val="0"/>
      <w:marRight w:val="0"/>
      <w:marTop w:val="0"/>
      <w:marBottom w:val="0"/>
      <w:divBdr>
        <w:top w:val="none" w:sz="0" w:space="0" w:color="auto"/>
        <w:left w:val="none" w:sz="0" w:space="0" w:color="auto"/>
        <w:bottom w:val="none" w:sz="0" w:space="0" w:color="auto"/>
        <w:right w:val="none" w:sz="0" w:space="0" w:color="auto"/>
      </w:divBdr>
    </w:div>
    <w:div w:id="1770857427">
      <w:bodyDiv w:val="1"/>
      <w:marLeft w:val="0"/>
      <w:marRight w:val="0"/>
      <w:marTop w:val="0"/>
      <w:marBottom w:val="0"/>
      <w:divBdr>
        <w:top w:val="none" w:sz="0" w:space="0" w:color="auto"/>
        <w:left w:val="none" w:sz="0" w:space="0" w:color="auto"/>
        <w:bottom w:val="none" w:sz="0" w:space="0" w:color="auto"/>
        <w:right w:val="none" w:sz="0" w:space="0" w:color="auto"/>
      </w:divBdr>
    </w:div>
    <w:div w:id="1772969816">
      <w:bodyDiv w:val="1"/>
      <w:marLeft w:val="0"/>
      <w:marRight w:val="0"/>
      <w:marTop w:val="0"/>
      <w:marBottom w:val="0"/>
      <w:divBdr>
        <w:top w:val="none" w:sz="0" w:space="0" w:color="auto"/>
        <w:left w:val="none" w:sz="0" w:space="0" w:color="auto"/>
        <w:bottom w:val="none" w:sz="0" w:space="0" w:color="auto"/>
        <w:right w:val="none" w:sz="0" w:space="0" w:color="auto"/>
      </w:divBdr>
    </w:div>
    <w:div w:id="1774738096">
      <w:bodyDiv w:val="1"/>
      <w:marLeft w:val="0"/>
      <w:marRight w:val="0"/>
      <w:marTop w:val="0"/>
      <w:marBottom w:val="0"/>
      <w:divBdr>
        <w:top w:val="none" w:sz="0" w:space="0" w:color="auto"/>
        <w:left w:val="none" w:sz="0" w:space="0" w:color="auto"/>
        <w:bottom w:val="none" w:sz="0" w:space="0" w:color="auto"/>
        <w:right w:val="none" w:sz="0" w:space="0" w:color="auto"/>
      </w:divBdr>
    </w:div>
    <w:div w:id="1774739348">
      <w:bodyDiv w:val="1"/>
      <w:marLeft w:val="0"/>
      <w:marRight w:val="0"/>
      <w:marTop w:val="0"/>
      <w:marBottom w:val="0"/>
      <w:divBdr>
        <w:top w:val="none" w:sz="0" w:space="0" w:color="auto"/>
        <w:left w:val="none" w:sz="0" w:space="0" w:color="auto"/>
        <w:bottom w:val="none" w:sz="0" w:space="0" w:color="auto"/>
        <w:right w:val="none" w:sz="0" w:space="0" w:color="auto"/>
      </w:divBdr>
      <w:divsChild>
        <w:div w:id="1612938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982160">
      <w:bodyDiv w:val="1"/>
      <w:marLeft w:val="0"/>
      <w:marRight w:val="0"/>
      <w:marTop w:val="0"/>
      <w:marBottom w:val="0"/>
      <w:divBdr>
        <w:top w:val="none" w:sz="0" w:space="0" w:color="auto"/>
        <w:left w:val="none" w:sz="0" w:space="0" w:color="auto"/>
        <w:bottom w:val="none" w:sz="0" w:space="0" w:color="auto"/>
        <w:right w:val="none" w:sz="0" w:space="0" w:color="auto"/>
      </w:divBdr>
    </w:div>
    <w:div w:id="1775007701">
      <w:bodyDiv w:val="1"/>
      <w:marLeft w:val="0"/>
      <w:marRight w:val="0"/>
      <w:marTop w:val="0"/>
      <w:marBottom w:val="0"/>
      <w:divBdr>
        <w:top w:val="none" w:sz="0" w:space="0" w:color="auto"/>
        <w:left w:val="none" w:sz="0" w:space="0" w:color="auto"/>
        <w:bottom w:val="none" w:sz="0" w:space="0" w:color="auto"/>
        <w:right w:val="none" w:sz="0" w:space="0" w:color="auto"/>
      </w:divBdr>
    </w:div>
    <w:div w:id="1782408193">
      <w:bodyDiv w:val="1"/>
      <w:marLeft w:val="0"/>
      <w:marRight w:val="0"/>
      <w:marTop w:val="0"/>
      <w:marBottom w:val="0"/>
      <w:divBdr>
        <w:top w:val="none" w:sz="0" w:space="0" w:color="auto"/>
        <w:left w:val="none" w:sz="0" w:space="0" w:color="auto"/>
        <w:bottom w:val="none" w:sz="0" w:space="0" w:color="auto"/>
        <w:right w:val="none" w:sz="0" w:space="0" w:color="auto"/>
      </w:divBdr>
    </w:div>
    <w:div w:id="1788044764">
      <w:bodyDiv w:val="1"/>
      <w:marLeft w:val="0"/>
      <w:marRight w:val="0"/>
      <w:marTop w:val="0"/>
      <w:marBottom w:val="0"/>
      <w:divBdr>
        <w:top w:val="none" w:sz="0" w:space="0" w:color="auto"/>
        <w:left w:val="none" w:sz="0" w:space="0" w:color="auto"/>
        <w:bottom w:val="none" w:sz="0" w:space="0" w:color="auto"/>
        <w:right w:val="none" w:sz="0" w:space="0" w:color="auto"/>
      </w:divBdr>
    </w:div>
    <w:div w:id="1793789633">
      <w:bodyDiv w:val="1"/>
      <w:marLeft w:val="0"/>
      <w:marRight w:val="0"/>
      <w:marTop w:val="0"/>
      <w:marBottom w:val="0"/>
      <w:divBdr>
        <w:top w:val="none" w:sz="0" w:space="0" w:color="auto"/>
        <w:left w:val="none" w:sz="0" w:space="0" w:color="auto"/>
        <w:bottom w:val="none" w:sz="0" w:space="0" w:color="auto"/>
        <w:right w:val="none" w:sz="0" w:space="0" w:color="auto"/>
      </w:divBdr>
    </w:div>
    <w:div w:id="1800948808">
      <w:bodyDiv w:val="1"/>
      <w:marLeft w:val="0"/>
      <w:marRight w:val="0"/>
      <w:marTop w:val="0"/>
      <w:marBottom w:val="0"/>
      <w:divBdr>
        <w:top w:val="none" w:sz="0" w:space="0" w:color="auto"/>
        <w:left w:val="none" w:sz="0" w:space="0" w:color="auto"/>
        <w:bottom w:val="none" w:sz="0" w:space="0" w:color="auto"/>
        <w:right w:val="none" w:sz="0" w:space="0" w:color="auto"/>
      </w:divBdr>
      <w:divsChild>
        <w:div w:id="912203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8930597">
      <w:bodyDiv w:val="1"/>
      <w:marLeft w:val="0"/>
      <w:marRight w:val="0"/>
      <w:marTop w:val="0"/>
      <w:marBottom w:val="0"/>
      <w:divBdr>
        <w:top w:val="none" w:sz="0" w:space="0" w:color="auto"/>
        <w:left w:val="none" w:sz="0" w:space="0" w:color="auto"/>
        <w:bottom w:val="none" w:sz="0" w:space="0" w:color="auto"/>
        <w:right w:val="none" w:sz="0" w:space="0" w:color="auto"/>
      </w:divBdr>
    </w:div>
    <w:div w:id="1810975697">
      <w:bodyDiv w:val="1"/>
      <w:marLeft w:val="0"/>
      <w:marRight w:val="0"/>
      <w:marTop w:val="0"/>
      <w:marBottom w:val="0"/>
      <w:divBdr>
        <w:top w:val="none" w:sz="0" w:space="0" w:color="auto"/>
        <w:left w:val="none" w:sz="0" w:space="0" w:color="auto"/>
        <w:bottom w:val="none" w:sz="0" w:space="0" w:color="auto"/>
        <w:right w:val="none" w:sz="0" w:space="0" w:color="auto"/>
      </w:divBdr>
    </w:div>
    <w:div w:id="1811945281">
      <w:bodyDiv w:val="1"/>
      <w:marLeft w:val="0"/>
      <w:marRight w:val="0"/>
      <w:marTop w:val="0"/>
      <w:marBottom w:val="0"/>
      <w:divBdr>
        <w:top w:val="none" w:sz="0" w:space="0" w:color="auto"/>
        <w:left w:val="none" w:sz="0" w:space="0" w:color="auto"/>
        <w:bottom w:val="none" w:sz="0" w:space="0" w:color="auto"/>
        <w:right w:val="none" w:sz="0" w:space="0" w:color="auto"/>
      </w:divBdr>
    </w:div>
    <w:div w:id="1816296043">
      <w:bodyDiv w:val="1"/>
      <w:marLeft w:val="0"/>
      <w:marRight w:val="0"/>
      <w:marTop w:val="0"/>
      <w:marBottom w:val="0"/>
      <w:divBdr>
        <w:top w:val="none" w:sz="0" w:space="0" w:color="auto"/>
        <w:left w:val="none" w:sz="0" w:space="0" w:color="auto"/>
        <w:bottom w:val="none" w:sz="0" w:space="0" w:color="auto"/>
        <w:right w:val="none" w:sz="0" w:space="0" w:color="auto"/>
      </w:divBdr>
    </w:div>
    <w:div w:id="1816793346">
      <w:bodyDiv w:val="1"/>
      <w:marLeft w:val="0"/>
      <w:marRight w:val="0"/>
      <w:marTop w:val="0"/>
      <w:marBottom w:val="0"/>
      <w:divBdr>
        <w:top w:val="none" w:sz="0" w:space="0" w:color="auto"/>
        <w:left w:val="none" w:sz="0" w:space="0" w:color="auto"/>
        <w:bottom w:val="none" w:sz="0" w:space="0" w:color="auto"/>
        <w:right w:val="none" w:sz="0" w:space="0" w:color="auto"/>
      </w:divBdr>
    </w:div>
    <w:div w:id="1818763529">
      <w:bodyDiv w:val="1"/>
      <w:marLeft w:val="0"/>
      <w:marRight w:val="0"/>
      <w:marTop w:val="0"/>
      <w:marBottom w:val="0"/>
      <w:divBdr>
        <w:top w:val="none" w:sz="0" w:space="0" w:color="auto"/>
        <w:left w:val="none" w:sz="0" w:space="0" w:color="auto"/>
        <w:bottom w:val="none" w:sz="0" w:space="0" w:color="auto"/>
        <w:right w:val="none" w:sz="0" w:space="0" w:color="auto"/>
      </w:divBdr>
    </w:div>
    <w:div w:id="1821772170">
      <w:bodyDiv w:val="1"/>
      <w:marLeft w:val="0"/>
      <w:marRight w:val="0"/>
      <w:marTop w:val="0"/>
      <w:marBottom w:val="0"/>
      <w:divBdr>
        <w:top w:val="none" w:sz="0" w:space="0" w:color="auto"/>
        <w:left w:val="none" w:sz="0" w:space="0" w:color="auto"/>
        <w:bottom w:val="none" w:sz="0" w:space="0" w:color="auto"/>
        <w:right w:val="none" w:sz="0" w:space="0" w:color="auto"/>
      </w:divBdr>
    </w:div>
    <w:div w:id="1822502893">
      <w:bodyDiv w:val="1"/>
      <w:marLeft w:val="0"/>
      <w:marRight w:val="0"/>
      <w:marTop w:val="0"/>
      <w:marBottom w:val="0"/>
      <w:divBdr>
        <w:top w:val="none" w:sz="0" w:space="0" w:color="auto"/>
        <w:left w:val="none" w:sz="0" w:space="0" w:color="auto"/>
        <w:bottom w:val="none" w:sz="0" w:space="0" w:color="auto"/>
        <w:right w:val="none" w:sz="0" w:space="0" w:color="auto"/>
      </w:divBdr>
    </w:div>
    <w:div w:id="1836266994">
      <w:bodyDiv w:val="1"/>
      <w:marLeft w:val="0"/>
      <w:marRight w:val="0"/>
      <w:marTop w:val="0"/>
      <w:marBottom w:val="0"/>
      <w:divBdr>
        <w:top w:val="none" w:sz="0" w:space="0" w:color="auto"/>
        <w:left w:val="none" w:sz="0" w:space="0" w:color="auto"/>
        <w:bottom w:val="none" w:sz="0" w:space="0" w:color="auto"/>
        <w:right w:val="none" w:sz="0" w:space="0" w:color="auto"/>
      </w:divBdr>
    </w:div>
    <w:div w:id="1844126898">
      <w:bodyDiv w:val="1"/>
      <w:marLeft w:val="0"/>
      <w:marRight w:val="0"/>
      <w:marTop w:val="0"/>
      <w:marBottom w:val="0"/>
      <w:divBdr>
        <w:top w:val="none" w:sz="0" w:space="0" w:color="auto"/>
        <w:left w:val="none" w:sz="0" w:space="0" w:color="auto"/>
        <w:bottom w:val="none" w:sz="0" w:space="0" w:color="auto"/>
        <w:right w:val="none" w:sz="0" w:space="0" w:color="auto"/>
      </w:divBdr>
    </w:div>
    <w:div w:id="1848520224">
      <w:bodyDiv w:val="1"/>
      <w:marLeft w:val="0"/>
      <w:marRight w:val="0"/>
      <w:marTop w:val="0"/>
      <w:marBottom w:val="0"/>
      <w:divBdr>
        <w:top w:val="none" w:sz="0" w:space="0" w:color="auto"/>
        <w:left w:val="none" w:sz="0" w:space="0" w:color="auto"/>
        <w:bottom w:val="none" w:sz="0" w:space="0" w:color="auto"/>
        <w:right w:val="none" w:sz="0" w:space="0" w:color="auto"/>
      </w:divBdr>
    </w:div>
    <w:div w:id="1853454612">
      <w:bodyDiv w:val="1"/>
      <w:marLeft w:val="0"/>
      <w:marRight w:val="0"/>
      <w:marTop w:val="0"/>
      <w:marBottom w:val="0"/>
      <w:divBdr>
        <w:top w:val="none" w:sz="0" w:space="0" w:color="auto"/>
        <w:left w:val="none" w:sz="0" w:space="0" w:color="auto"/>
        <w:bottom w:val="none" w:sz="0" w:space="0" w:color="auto"/>
        <w:right w:val="none" w:sz="0" w:space="0" w:color="auto"/>
      </w:divBdr>
    </w:div>
    <w:div w:id="1860505449">
      <w:bodyDiv w:val="1"/>
      <w:marLeft w:val="0"/>
      <w:marRight w:val="0"/>
      <w:marTop w:val="0"/>
      <w:marBottom w:val="0"/>
      <w:divBdr>
        <w:top w:val="none" w:sz="0" w:space="0" w:color="auto"/>
        <w:left w:val="none" w:sz="0" w:space="0" w:color="auto"/>
        <w:bottom w:val="none" w:sz="0" w:space="0" w:color="auto"/>
        <w:right w:val="none" w:sz="0" w:space="0" w:color="auto"/>
      </w:divBdr>
    </w:div>
    <w:div w:id="1861626295">
      <w:bodyDiv w:val="1"/>
      <w:marLeft w:val="0"/>
      <w:marRight w:val="0"/>
      <w:marTop w:val="0"/>
      <w:marBottom w:val="0"/>
      <w:divBdr>
        <w:top w:val="none" w:sz="0" w:space="0" w:color="auto"/>
        <w:left w:val="none" w:sz="0" w:space="0" w:color="auto"/>
        <w:bottom w:val="none" w:sz="0" w:space="0" w:color="auto"/>
        <w:right w:val="none" w:sz="0" w:space="0" w:color="auto"/>
      </w:divBdr>
      <w:divsChild>
        <w:div w:id="271404033">
          <w:marLeft w:val="0"/>
          <w:marRight w:val="0"/>
          <w:marTop w:val="0"/>
          <w:marBottom w:val="0"/>
          <w:divBdr>
            <w:top w:val="none" w:sz="0" w:space="0" w:color="auto"/>
            <w:left w:val="none" w:sz="0" w:space="0" w:color="auto"/>
            <w:bottom w:val="none" w:sz="0" w:space="0" w:color="auto"/>
            <w:right w:val="none" w:sz="0" w:space="0" w:color="auto"/>
          </w:divBdr>
        </w:div>
      </w:divsChild>
    </w:div>
    <w:div w:id="1870293142">
      <w:bodyDiv w:val="1"/>
      <w:marLeft w:val="0"/>
      <w:marRight w:val="0"/>
      <w:marTop w:val="0"/>
      <w:marBottom w:val="0"/>
      <w:divBdr>
        <w:top w:val="none" w:sz="0" w:space="0" w:color="auto"/>
        <w:left w:val="none" w:sz="0" w:space="0" w:color="auto"/>
        <w:bottom w:val="none" w:sz="0" w:space="0" w:color="auto"/>
        <w:right w:val="none" w:sz="0" w:space="0" w:color="auto"/>
      </w:divBdr>
    </w:div>
    <w:div w:id="1871062985">
      <w:bodyDiv w:val="1"/>
      <w:marLeft w:val="0"/>
      <w:marRight w:val="0"/>
      <w:marTop w:val="0"/>
      <w:marBottom w:val="0"/>
      <w:divBdr>
        <w:top w:val="none" w:sz="0" w:space="0" w:color="auto"/>
        <w:left w:val="none" w:sz="0" w:space="0" w:color="auto"/>
        <w:bottom w:val="none" w:sz="0" w:space="0" w:color="auto"/>
        <w:right w:val="none" w:sz="0" w:space="0" w:color="auto"/>
      </w:divBdr>
    </w:div>
    <w:div w:id="1871410832">
      <w:bodyDiv w:val="1"/>
      <w:marLeft w:val="0"/>
      <w:marRight w:val="0"/>
      <w:marTop w:val="0"/>
      <w:marBottom w:val="0"/>
      <w:divBdr>
        <w:top w:val="none" w:sz="0" w:space="0" w:color="auto"/>
        <w:left w:val="none" w:sz="0" w:space="0" w:color="auto"/>
        <w:bottom w:val="none" w:sz="0" w:space="0" w:color="auto"/>
        <w:right w:val="none" w:sz="0" w:space="0" w:color="auto"/>
      </w:divBdr>
    </w:div>
    <w:div w:id="1877503677">
      <w:bodyDiv w:val="1"/>
      <w:marLeft w:val="0"/>
      <w:marRight w:val="0"/>
      <w:marTop w:val="0"/>
      <w:marBottom w:val="0"/>
      <w:divBdr>
        <w:top w:val="none" w:sz="0" w:space="0" w:color="auto"/>
        <w:left w:val="none" w:sz="0" w:space="0" w:color="auto"/>
        <w:bottom w:val="none" w:sz="0" w:space="0" w:color="auto"/>
        <w:right w:val="none" w:sz="0" w:space="0" w:color="auto"/>
      </w:divBdr>
    </w:div>
    <w:div w:id="1878615349">
      <w:bodyDiv w:val="1"/>
      <w:marLeft w:val="0"/>
      <w:marRight w:val="0"/>
      <w:marTop w:val="0"/>
      <w:marBottom w:val="0"/>
      <w:divBdr>
        <w:top w:val="none" w:sz="0" w:space="0" w:color="auto"/>
        <w:left w:val="none" w:sz="0" w:space="0" w:color="auto"/>
        <w:bottom w:val="none" w:sz="0" w:space="0" w:color="auto"/>
        <w:right w:val="none" w:sz="0" w:space="0" w:color="auto"/>
      </w:divBdr>
    </w:div>
    <w:div w:id="1879976731">
      <w:bodyDiv w:val="1"/>
      <w:marLeft w:val="0"/>
      <w:marRight w:val="0"/>
      <w:marTop w:val="0"/>
      <w:marBottom w:val="0"/>
      <w:divBdr>
        <w:top w:val="none" w:sz="0" w:space="0" w:color="auto"/>
        <w:left w:val="none" w:sz="0" w:space="0" w:color="auto"/>
        <w:bottom w:val="none" w:sz="0" w:space="0" w:color="auto"/>
        <w:right w:val="none" w:sz="0" w:space="0" w:color="auto"/>
      </w:divBdr>
    </w:div>
    <w:div w:id="1880818356">
      <w:bodyDiv w:val="1"/>
      <w:marLeft w:val="0"/>
      <w:marRight w:val="0"/>
      <w:marTop w:val="0"/>
      <w:marBottom w:val="0"/>
      <w:divBdr>
        <w:top w:val="none" w:sz="0" w:space="0" w:color="auto"/>
        <w:left w:val="none" w:sz="0" w:space="0" w:color="auto"/>
        <w:bottom w:val="none" w:sz="0" w:space="0" w:color="auto"/>
        <w:right w:val="none" w:sz="0" w:space="0" w:color="auto"/>
      </w:divBdr>
      <w:divsChild>
        <w:div w:id="591470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969758">
      <w:bodyDiv w:val="1"/>
      <w:marLeft w:val="0"/>
      <w:marRight w:val="0"/>
      <w:marTop w:val="0"/>
      <w:marBottom w:val="0"/>
      <w:divBdr>
        <w:top w:val="none" w:sz="0" w:space="0" w:color="auto"/>
        <w:left w:val="none" w:sz="0" w:space="0" w:color="auto"/>
        <w:bottom w:val="none" w:sz="0" w:space="0" w:color="auto"/>
        <w:right w:val="none" w:sz="0" w:space="0" w:color="auto"/>
      </w:divBdr>
    </w:div>
    <w:div w:id="1882399080">
      <w:bodyDiv w:val="1"/>
      <w:marLeft w:val="0"/>
      <w:marRight w:val="0"/>
      <w:marTop w:val="0"/>
      <w:marBottom w:val="0"/>
      <w:divBdr>
        <w:top w:val="none" w:sz="0" w:space="0" w:color="auto"/>
        <w:left w:val="none" w:sz="0" w:space="0" w:color="auto"/>
        <w:bottom w:val="none" w:sz="0" w:space="0" w:color="auto"/>
        <w:right w:val="none" w:sz="0" w:space="0" w:color="auto"/>
      </w:divBdr>
    </w:div>
    <w:div w:id="1885751738">
      <w:bodyDiv w:val="1"/>
      <w:marLeft w:val="0"/>
      <w:marRight w:val="0"/>
      <w:marTop w:val="0"/>
      <w:marBottom w:val="0"/>
      <w:divBdr>
        <w:top w:val="none" w:sz="0" w:space="0" w:color="auto"/>
        <w:left w:val="none" w:sz="0" w:space="0" w:color="auto"/>
        <w:bottom w:val="none" w:sz="0" w:space="0" w:color="auto"/>
        <w:right w:val="none" w:sz="0" w:space="0" w:color="auto"/>
      </w:divBdr>
      <w:divsChild>
        <w:div w:id="1520464547">
          <w:marLeft w:val="0"/>
          <w:marRight w:val="0"/>
          <w:marTop w:val="0"/>
          <w:marBottom w:val="0"/>
          <w:divBdr>
            <w:top w:val="none" w:sz="0" w:space="0" w:color="auto"/>
            <w:left w:val="none" w:sz="0" w:space="0" w:color="auto"/>
            <w:bottom w:val="none" w:sz="0" w:space="0" w:color="auto"/>
            <w:right w:val="none" w:sz="0" w:space="0" w:color="auto"/>
          </w:divBdr>
          <w:divsChild>
            <w:div w:id="1926499161">
              <w:marLeft w:val="0"/>
              <w:marRight w:val="0"/>
              <w:marTop w:val="0"/>
              <w:marBottom w:val="0"/>
              <w:divBdr>
                <w:top w:val="none" w:sz="0" w:space="0" w:color="auto"/>
                <w:left w:val="none" w:sz="0" w:space="0" w:color="auto"/>
                <w:bottom w:val="none" w:sz="0" w:space="0" w:color="auto"/>
                <w:right w:val="none" w:sz="0" w:space="0" w:color="auto"/>
              </w:divBdr>
              <w:divsChild>
                <w:div w:id="1071923030">
                  <w:marLeft w:val="0"/>
                  <w:marRight w:val="0"/>
                  <w:marTop w:val="0"/>
                  <w:marBottom w:val="0"/>
                  <w:divBdr>
                    <w:top w:val="none" w:sz="0" w:space="0" w:color="auto"/>
                    <w:left w:val="none" w:sz="0" w:space="0" w:color="auto"/>
                    <w:bottom w:val="none" w:sz="0" w:space="0" w:color="auto"/>
                    <w:right w:val="none" w:sz="0" w:space="0" w:color="auto"/>
                  </w:divBdr>
                  <w:divsChild>
                    <w:div w:id="6708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678522">
      <w:bodyDiv w:val="1"/>
      <w:marLeft w:val="0"/>
      <w:marRight w:val="0"/>
      <w:marTop w:val="0"/>
      <w:marBottom w:val="0"/>
      <w:divBdr>
        <w:top w:val="none" w:sz="0" w:space="0" w:color="auto"/>
        <w:left w:val="none" w:sz="0" w:space="0" w:color="auto"/>
        <w:bottom w:val="none" w:sz="0" w:space="0" w:color="auto"/>
        <w:right w:val="none" w:sz="0" w:space="0" w:color="auto"/>
      </w:divBdr>
    </w:div>
    <w:div w:id="1896548118">
      <w:bodyDiv w:val="1"/>
      <w:marLeft w:val="0"/>
      <w:marRight w:val="0"/>
      <w:marTop w:val="0"/>
      <w:marBottom w:val="0"/>
      <w:divBdr>
        <w:top w:val="none" w:sz="0" w:space="0" w:color="auto"/>
        <w:left w:val="none" w:sz="0" w:space="0" w:color="auto"/>
        <w:bottom w:val="none" w:sz="0" w:space="0" w:color="auto"/>
        <w:right w:val="none" w:sz="0" w:space="0" w:color="auto"/>
      </w:divBdr>
    </w:div>
    <w:div w:id="1900509005">
      <w:bodyDiv w:val="1"/>
      <w:marLeft w:val="0"/>
      <w:marRight w:val="0"/>
      <w:marTop w:val="0"/>
      <w:marBottom w:val="0"/>
      <w:divBdr>
        <w:top w:val="none" w:sz="0" w:space="0" w:color="auto"/>
        <w:left w:val="none" w:sz="0" w:space="0" w:color="auto"/>
        <w:bottom w:val="none" w:sz="0" w:space="0" w:color="auto"/>
        <w:right w:val="none" w:sz="0" w:space="0" w:color="auto"/>
      </w:divBdr>
    </w:div>
    <w:div w:id="1905606530">
      <w:bodyDiv w:val="1"/>
      <w:marLeft w:val="0"/>
      <w:marRight w:val="0"/>
      <w:marTop w:val="0"/>
      <w:marBottom w:val="0"/>
      <w:divBdr>
        <w:top w:val="none" w:sz="0" w:space="0" w:color="auto"/>
        <w:left w:val="none" w:sz="0" w:space="0" w:color="auto"/>
        <w:bottom w:val="none" w:sz="0" w:space="0" w:color="auto"/>
        <w:right w:val="none" w:sz="0" w:space="0" w:color="auto"/>
      </w:divBdr>
    </w:div>
    <w:div w:id="1905724769">
      <w:bodyDiv w:val="1"/>
      <w:marLeft w:val="0"/>
      <w:marRight w:val="0"/>
      <w:marTop w:val="0"/>
      <w:marBottom w:val="0"/>
      <w:divBdr>
        <w:top w:val="none" w:sz="0" w:space="0" w:color="auto"/>
        <w:left w:val="none" w:sz="0" w:space="0" w:color="auto"/>
        <w:bottom w:val="none" w:sz="0" w:space="0" w:color="auto"/>
        <w:right w:val="none" w:sz="0" w:space="0" w:color="auto"/>
      </w:divBdr>
    </w:div>
    <w:div w:id="1905988485">
      <w:bodyDiv w:val="1"/>
      <w:marLeft w:val="0"/>
      <w:marRight w:val="0"/>
      <w:marTop w:val="0"/>
      <w:marBottom w:val="0"/>
      <w:divBdr>
        <w:top w:val="none" w:sz="0" w:space="0" w:color="auto"/>
        <w:left w:val="none" w:sz="0" w:space="0" w:color="auto"/>
        <w:bottom w:val="none" w:sz="0" w:space="0" w:color="auto"/>
        <w:right w:val="none" w:sz="0" w:space="0" w:color="auto"/>
      </w:divBdr>
    </w:div>
    <w:div w:id="1907260522">
      <w:bodyDiv w:val="1"/>
      <w:marLeft w:val="0"/>
      <w:marRight w:val="0"/>
      <w:marTop w:val="0"/>
      <w:marBottom w:val="0"/>
      <w:divBdr>
        <w:top w:val="none" w:sz="0" w:space="0" w:color="auto"/>
        <w:left w:val="none" w:sz="0" w:space="0" w:color="auto"/>
        <w:bottom w:val="none" w:sz="0" w:space="0" w:color="auto"/>
        <w:right w:val="none" w:sz="0" w:space="0" w:color="auto"/>
      </w:divBdr>
    </w:div>
    <w:div w:id="1909684927">
      <w:bodyDiv w:val="1"/>
      <w:marLeft w:val="0"/>
      <w:marRight w:val="0"/>
      <w:marTop w:val="0"/>
      <w:marBottom w:val="0"/>
      <w:divBdr>
        <w:top w:val="none" w:sz="0" w:space="0" w:color="auto"/>
        <w:left w:val="none" w:sz="0" w:space="0" w:color="auto"/>
        <w:bottom w:val="none" w:sz="0" w:space="0" w:color="auto"/>
        <w:right w:val="none" w:sz="0" w:space="0" w:color="auto"/>
      </w:divBdr>
    </w:div>
    <w:div w:id="1914460623">
      <w:bodyDiv w:val="1"/>
      <w:marLeft w:val="0"/>
      <w:marRight w:val="0"/>
      <w:marTop w:val="0"/>
      <w:marBottom w:val="0"/>
      <w:divBdr>
        <w:top w:val="none" w:sz="0" w:space="0" w:color="auto"/>
        <w:left w:val="none" w:sz="0" w:space="0" w:color="auto"/>
        <w:bottom w:val="none" w:sz="0" w:space="0" w:color="auto"/>
        <w:right w:val="none" w:sz="0" w:space="0" w:color="auto"/>
      </w:divBdr>
    </w:div>
    <w:div w:id="1918779334">
      <w:bodyDiv w:val="1"/>
      <w:marLeft w:val="0"/>
      <w:marRight w:val="0"/>
      <w:marTop w:val="0"/>
      <w:marBottom w:val="0"/>
      <w:divBdr>
        <w:top w:val="none" w:sz="0" w:space="0" w:color="auto"/>
        <w:left w:val="none" w:sz="0" w:space="0" w:color="auto"/>
        <w:bottom w:val="none" w:sz="0" w:space="0" w:color="auto"/>
        <w:right w:val="none" w:sz="0" w:space="0" w:color="auto"/>
      </w:divBdr>
    </w:div>
    <w:div w:id="1922133558">
      <w:bodyDiv w:val="1"/>
      <w:marLeft w:val="0"/>
      <w:marRight w:val="0"/>
      <w:marTop w:val="0"/>
      <w:marBottom w:val="0"/>
      <w:divBdr>
        <w:top w:val="none" w:sz="0" w:space="0" w:color="auto"/>
        <w:left w:val="none" w:sz="0" w:space="0" w:color="auto"/>
        <w:bottom w:val="none" w:sz="0" w:space="0" w:color="auto"/>
        <w:right w:val="none" w:sz="0" w:space="0" w:color="auto"/>
      </w:divBdr>
    </w:div>
    <w:div w:id="1923636374">
      <w:bodyDiv w:val="1"/>
      <w:marLeft w:val="0"/>
      <w:marRight w:val="0"/>
      <w:marTop w:val="0"/>
      <w:marBottom w:val="0"/>
      <w:divBdr>
        <w:top w:val="none" w:sz="0" w:space="0" w:color="auto"/>
        <w:left w:val="none" w:sz="0" w:space="0" w:color="auto"/>
        <w:bottom w:val="none" w:sz="0" w:space="0" w:color="auto"/>
        <w:right w:val="none" w:sz="0" w:space="0" w:color="auto"/>
      </w:divBdr>
      <w:divsChild>
        <w:div w:id="1801722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301403">
      <w:bodyDiv w:val="1"/>
      <w:marLeft w:val="0"/>
      <w:marRight w:val="0"/>
      <w:marTop w:val="0"/>
      <w:marBottom w:val="0"/>
      <w:divBdr>
        <w:top w:val="none" w:sz="0" w:space="0" w:color="auto"/>
        <w:left w:val="none" w:sz="0" w:space="0" w:color="auto"/>
        <w:bottom w:val="none" w:sz="0" w:space="0" w:color="auto"/>
        <w:right w:val="none" w:sz="0" w:space="0" w:color="auto"/>
      </w:divBdr>
    </w:div>
    <w:div w:id="1933395597">
      <w:bodyDiv w:val="1"/>
      <w:marLeft w:val="0"/>
      <w:marRight w:val="0"/>
      <w:marTop w:val="0"/>
      <w:marBottom w:val="0"/>
      <w:divBdr>
        <w:top w:val="none" w:sz="0" w:space="0" w:color="auto"/>
        <w:left w:val="none" w:sz="0" w:space="0" w:color="auto"/>
        <w:bottom w:val="none" w:sz="0" w:space="0" w:color="auto"/>
        <w:right w:val="none" w:sz="0" w:space="0" w:color="auto"/>
      </w:divBdr>
    </w:div>
    <w:div w:id="1933853030">
      <w:bodyDiv w:val="1"/>
      <w:marLeft w:val="0"/>
      <w:marRight w:val="0"/>
      <w:marTop w:val="0"/>
      <w:marBottom w:val="0"/>
      <w:divBdr>
        <w:top w:val="none" w:sz="0" w:space="0" w:color="auto"/>
        <w:left w:val="none" w:sz="0" w:space="0" w:color="auto"/>
        <w:bottom w:val="none" w:sz="0" w:space="0" w:color="auto"/>
        <w:right w:val="none" w:sz="0" w:space="0" w:color="auto"/>
      </w:divBdr>
    </w:div>
    <w:div w:id="1936209481">
      <w:bodyDiv w:val="1"/>
      <w:marLeft w:val="0"/>
      <w:marRight w:val="0"/>
      <w:marTop w:val="0"/>
      <w:marBottom w:val="0"/>
      <w:divBdr>
        <w:top w:val="none" w:sz="0" w:space="0" w:color="auto"/>
        <w:left w:val="none" w:sz="0" w:space="0" w:color="auto"/>
        <w:bottom w:val="none" w:sz="0" w:space="0" w:color="auto"/>
        <w:right w:val="none" w:sz="0" w:space="0" w:color="auto"/>
      </w:divBdr>
    </w:div>
    <w:div w:id="1943217194">
      <w:bodyDiv w:val="1"/>
      <w:marLeft w:val="0"/>
      <w:marRight w:val="0"/>
      <w:marTop w:val="0"/>
      <w:marBottom w:val="0"/>
      <w:divBdr>
        <w:top w:val="none" w:sz="0" w:space="0" w:color="auto"/>
        <w:left w:val="none" w:sz="0" w:space="0" w:color="auto"/>
        <w:bottom w:val="none" w:sz="0" w:space="0" w:color="auto"/>
        <w:right w:val="none" w:sz="0" w:space="0" w:color="auto"/>
      </w:divBdr>
    </w:div>
    <w:div w:id="1943682809">
      <w:bodyDiv w:val="1"/>
      <w:marLeft w:val="0"/>
      <w:marRight w:val="0"/>
      <w:marTop w:val="0"/>
      <w:marBottom w:val="0"/>
      <w:divBdr>
        <w:top w:val="none" w:sz="0" w:space="0" w:color="auto"/>
        <w:left w:val="none" w:sz="0" w:space="0" w:color="auto"/>
        <w:bottom w:val="none" w:sz="0" w:space="0" w:color="auto"/>
        <w:right w:val="none" w:sz="0" w:space="0" w:color="auto"/>
      </w:divBdr>
    </w:div>
    <w:div w:id="1945261156">
      <w:bodyDiv w:val="1"/>
      <w:marLeft w:val="0"/>
      <w:marRight w:val="0"/>
      <w:marTop w:val="0"/>
      <w:marBottom w:val="0"/>
      <w:divBdr>
        <w:top w:val="none" w:sz="0" w:space="0" w:color="auto"/>
        <w:left w:val="none" w:sz="0" w:space="0" w:color="auto"/>
        <w:bottom w:val="none" w:sz="0" w:space="0" w:color="auto"/>
        <w:right w:val="none" w:sz="0" w:space="0" w:color="auto"/>
      </w:divBdr>
    </w:div>
    <w:div w:id="1947080870">
      <w:bodyDiv w:val="1"/>
      <w:marLeft w:val="0"/>
      <w:marRight w:val="0"/>
      <w:marTop w:val="0"/>
      <w:marBottom w:val="0"/>
      <w:divBdr>
        <w:top w:val="none" w:sz="0" w:space="0" w:color="auto"/>
        <w:left w:val="none" w:sz="0" w:space="0" w:color="auto"/>
        <w:bottom w:val="none" w:sz="0" w:space="0" w:color="auto"/>
        <w:right w:val="none" w:sz="0" w:space="0" w:color="auto"/>
      </w:divBdr>
    </w:div>
    <w:div w:id="1958678561">
      <w:bodyDiv w:val="1"/>
      <w:marLeft w:val="0"/>
      <w:marRight w:val="0"/>
      <w:marTop w:val="0"/>
      <w:marBottom w:val="0"/>
      <w:divBdr>
        <w:top w:val="none" w:sz="0" w:space="0" w:color="auto"/>
        <w:left w:val="none" w:sz="0" w:space="0" w:color="auto"/>
        <w:bottom w:val="none" w:sz="0" w:space="0" w:color="auto"/>
        <w:right w:val="none" w:sz="0" w:space="0" w:color="auto"/>
      </w:divBdr>
      <w:divsChild>
        <w:div w:id="427896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452027">
      <w:bodyDiv w:val="1"/>
      <w:marLeft w:val="0"/>
      <w:marRight w:val="0"/>
      <w:marTop w:val="0"/>
      <w:marBottom w:val="0"/>
      <w:divBdr>
        <w:top w:val="none" w:sz="0" w:space="0" w:color="auto"/>
        <w:left w:val="none" w:sz="0" w:space="0" w:color="auto"/>
        <w:bottom w:val="none" w:sz="0" w:space="0" w:color="auto"/>
        <w:right w:val="none" w:sz="0" w:space="0" w:color="auto"/>
      </w:divBdr>
    </w:div>
    <w:div w:id="1971664559">
      <w:bodyDiv w:val="1"/>
      <w:marLeft w:val="0"/>
      <w:marRight w:val="0"/>
      <w:marTop w:val="0"/>
      <w:marBottom w:val="0"/>
      <w:divBdr>
        <w:top w:val="none" w:sz="0" w:space="0" w:color="auto"/>
        <w:left w:val="none" w:sz="0" w:space="0" w:color="auto"/>
        <w:bottom w:val="none" w:sz="0" w:space="0" w:color="auto"/>
        <w:right w:val="none" w:sz="0" w:space="0" w:color="auto"/>
      </w:divBdr>
    </w:div>
    <w:div w:id="1972636250">
      <w:bodyDiv w:val="1"/>
      <w:marLeft w:val="0"/>
      <w:marRight w:val="0"/>
      <w:marTop w:val="0"/>
      <w:marBottom w:val="0"/>
      <w:divBdr>
        <w:top w:val="none" w:sz="0" w:space="0" w:color="auto"/>
        <w:left w:val="none" w:sz="0" w:space="0" w:color="auto"/>
        <w:bottom w:val="none" w:sz="0" w:space="0" w:color="auto"/>
        <w:right w:val="none" w:sz="0" w:space="0" w:color="auto"/>
      </w:divBdr>
    </w:div>
    <w:div w:id="1973903024">
      <w:bodyDiv w:val="1"/>
      <w:marLeft w:val="0"/>
      <w:marRight w:val="0"/>
      <w:marTop w:val="0"/>
      <w:marBottom w:val="0"/>
      <w:divBdr>
        <w:top w:val="none" w:sz="0" w:space="0" w:color="auto"/>
        <w:left w:val="none" w:sz="0" w:space="0" w:color="auto"/>
        <w:bottom w:val="none" w:sz="0" w:space="0" w:color="auto"/>
        <w:right w:val="none" w:sz="0" w:space="0" w:color="auto"/>
      </w:divBdr>
    </w:div>
    <w:div w:id="1978954856">
      <w:bodyDiv w:val="1"/>
      <w:marLeft w:val="0"/>
      <w:marRight w:val="0"/>
      <w:marTop w:val="0"/>
      <w:marBottom w:val="0"/>
      <w:divBdr>
        <w:top w:val="none" w:sz="0" w:space="0" w:color="auto"/>
        <w:left w:val="none" w:sz="0" w:space="0" w:color="auto"/>
        <w:bottom w:val="none" w:sz="0" w:space="0" w:color="auto"/>
        <w:right w:val="none" w:sz="0" w:space="0" w:color="auto"/>
      </w:divBdr>
    </w:div>
    <w:div w:id="1979416016">
      <w:bodyDiv w:val="1"/>
      <w:marLeft w:val="0"/>
      <w:marRight w:val="0"/>
      <w:marTop w:val="0"/>
      <w:marBottom w:val="0"/>
      <w:divBdr>
        <w:top w:val="none" w:sz="0" w:space="0" w:color="auto"/>
        <w:left w:val="none" w:sz="0" w:space="0" w:color="auto"/>
        <w:bottom w:val="none" w:sz="0" w:space="0" w:color="auto"/>
        <w:right w:val="none" w:sz="0" w:space="0" w:color="auto"/>
      </w:divBdr>
    </w:div>
    <w:div w:id="1986660557">
      <w:bodyDiv w:val="1"/>
      <w:marLeft w:val="0"/>
      <w:marRight w:val="0"/>
      <w:marTop w:val="0"/>
      <w:marBottom w:val="0"/>
      <w:divBdr>
        <w:top w:val="none" w:sz="0" w:space="0" w:color="auto"/>
        <w:left w:val="none" w:sz="0" w:space="0" w:color="auto"/>
        <w:bottom w:val="none" w:sz="0" w:space="0" w:color="auto"/>
        <w:right w:val="none" w:sz="0" w:space="0" w:color="auto"/>
      </w:divBdr>
    </w:div>
    <w:div w:id="2015642498">
      <w:bodyDiv w:val="1"/>
      <w:marLeft w:val="0"/>
      <w:marRight w:val="0"/>
      <w:marTop w:val="0"/>
      <w:marBottom w:val="0"/>
      <w:divBdr>
        <w:top w:val="none" w:sz="0" w:space="0" w:color="auto"/>
        <w:left w:val="none" w:sz="0" w:space="0" w:color="auto"/>
        <w:bottom w:val="none" w:sz="0" w:space="0" w:color="auto"/>
        <w:right w:val="none" w:sz="0" w:space="0" w:color="auto"/>
      </w:divBdr>
    </w:div>
    <w:div w:id="2019963944">
      <w:bodyDiv w:val="1"/>
      <w:marLeft w:val="0"/>
      <w:marRight w:val="0"/>
      <w:marTop w:val="0"/>
      <w:marBottom w:val="0"/>
      <w:divBdr>
        <w:top w:val="none" w:sz="0" w:space="0" w:color="auto"/>
        <w:left w:val="none" w:sz="0" w:space="0" w:color="auto"/>
        <w:bottom w:val="none" w:sz="0" w:space="0" w:color="auto"/>
        <w:right w:val="none" w:sz="0" w:space="0" w:color="auto"/>
      </w:divBdr>
      <w:divsChild>
        <w:div w:id="1681274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515263">
      <w:bodyDiv w:val="1"/>
      <w:marLeft w:val="0"/>
      <w:marRight w:val="0"/>
      <w:marTop w:val="0"/>
      <w:marBottom w:val="0"/>
      <w:divBdr>
        <w:top w:val="none" w:sz="0" w:space="0" w:color="auto"/>
        <w:left w:val="none" w:sz="0" w:space="0" w:color="auto"/>
        <w:bottom w:val="none" w:sz="0" w:space="0" w:color="auto"/>
        <w:right w:val="none" w:sz="0" w:space="0" w:color="auto"/>
      </w:divBdr>
    </w:div>
    <w:div w:id="2028948309">
      <w:bodyDiv w:val="1"/>
      <w:marLeft w:val="0"/>
      <w:marRight w:val="0"/>
      <w:marTop w:val="0"/>
      <w:marBottom w:val="0"/>
      <w:divBdr>
        <w:top w:val="none" w:sz="0" w:space="0" w:color="auto"/>
        <w:left w:val="none" w:sz="0" w:space="0" w:color="auto"/>
        <w:bottom w:val="none" w:sz="0" w:space="0" w:color="auto"/>
        <w:right w:val="none" w:sz="0" w:space="0" w:color="auto"/>
      </w:divBdr>
    </w:div>
    <w:div w:id="2030253862">
      <w:bodyDiv w:val="1"/>
      <w:marLeft w:val="0"/>
      <w:marRight w:val="0"/>
      <w:marTop w:val="0"/>
      <w:marBottom w:val="0"/>
      <w:divBdr>
        <w:top w:val="none" w:sz="0" w:space="0" w:color="auto"/>
        <w:left w:val="none" w:sz="0" w:space="0" w:color="auto"/>
        <w:bottom w:val="none" w:sz="0" w:space="0" w:color="auto"/>
        <w:right w:val="none" w:sz="0" w:space="0" w:color="auto"/>
      </w:divBdr>
    </w:div>
    <w:div w:id="2035496138">
      <w:bodyDiv w:val="1"/>
      <w:marLeft w:val="0"/>
      <w:marRight w:val="0"/>
      <w:marTop w:val="0"/>
      <w:marBottom w:val="0"/>
      <w:divBdr>
        <w:top w:val="none" w:sz="0" w:space="0" w:color="auto"/>
        <w:left w:val="none" w:sz="0" w:space="0" w:color="auto"/>
        <w:bottom w:val="none" w:sz="0" w:space="0" w:color="auto"/>
        <w:right w:val="none" w:sz="0" w:space="0" w:color="auto"/>
      </w:divBdr>
    </w:div>
    <w:div w:id="2041542344">
      <w:bodyDiv w:val="1"/>
      <w:marLeft w:val="0"/>
      <w:marRight w:val="0"/>
      <w:marTop w:val="0"/>
      <w:marBottom w:val="0"/>
      <w:divBdr>
        <w:top w:val="none" w:sz="0" w:space="0" w:color="auto"/>
        <w:left w:val="none" w:sz="0" w:space="0" w:color="auto"/>
        <w:bottom w:val="none" w:sz="0" w:space="0" w:color="auto"/>
        <w:right w:val="none" w:sz="0" w:space="0" w:color="auto"/>
      </w:divBdr>
      <w:divsChild>
        <w:div w:id="1373576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1927761">
      <w:bodyDiv w:val="1"/>
      <w:marLeft w:val="0"/>
      <w:marRight w:val="0"/>
      <w:marTop w:val="0"/>
      <w:marBottom w:val="0"/>
      <w:divBdr>
        <w:top w:val="none" w:sz="0" w:space="0" w:color="auto"/>
        <w:left w:val="none" w:sz="0" w:space="0" w:color="auto"/>
        <w:bottom w:val="none" w:sz="0" w:space="0" w:color="auto"/>
        <w:right w:val="none" w:sz="0" w:space="0" w:color="auto"/>
      </w:divBdr>
    </w:div>
    <w:div w:id="2043241524">
      <w:bodyDiv w:val="1"/>
      <w:marLeft w:val="0"/>
      <w:marRight w:val="0"/>
      <w:marTop w:val="0"/>
      <w:marBottom w:val="0"/>
      <w:divBdr>
        <w:top w:val="none" w:sz="0" w:space="0" w:color="auto"/>
        <w:left w:val="none" w:sz="0" w:space="0" w:color="auto"/>
        <w:bottom w:val="none" w:sz="0" w:space="0" w:color="auto"/>
        <w:right w:val="none" w:sz="0" w:space="0" w:color="auto"/>
      </w:divBdr>
    </w:div>
    <w:div w:id="2043628305">
      <w:bodyDiv w:val="1"/>
      <w:marLeft w:val="0"/>
      <w:marRight w:val="0"/>
      <w:marTop w:val="0"/>
      <w:marBottom w:val="0"/>
      <w:divBdr>
        <w:top w:val="none" w:sz="0" w:space="0" w:color="auto"/>
        <w:left w:val="none" w:sz="0" w:space="0" w:color="auto"/>
        <w:bottom w:val="none" w:sz="0" w:space="0" w:color="auto"/>
        <w:right w:val="none" w:sz="0" w:space="0" w:color="auto"/>
      </w:divBdr>
    </w:div>
    <w:div w:id="2047170616">
      <w:bodyDiv w:val="1"/>
      <w:marLeft w:val="0"/>
      <w:marRight w:val="0"/>
      <w:marTop w:val="0"/>
      <w:marBottom w:val="0"/>
      <w:divBdr>
        <w:top w:val="none" w:sz="0" w:space="0" w:color="auto"/>
        <w:left w:val="none" w:sz="0" w:space="0" w:color="auto"/>
        <w:bottom w:val="none" w:sz="0" w:space="0" w:color="auto"/>
        <w:right w:val="none" w:sz="0" w:space="0" w:color="auto"/>
      </w:divBdr>
    </w:div>
    <w:div w:id="2054962098">
      <w:bodyDiv w:val="1"/>
      <w:marLeft w:val="0"/>
      <w:marRight w:val="0"/>
      <w:marTop w:val="0"/>
      <w:marBottom w:val="0"/>
      <w:divBdr>
        <w:top w:val="none" w:sz="0" w:space="0" w:color="auto"/>
        <w:left w:val="none" w:sz="0" w:space="0" w:color="auto"/>
        <w:bottom w:val="none" w:sz="0" w:space="0" w:color="auto"/>
        <w:right w:val="none" w:sz="0" w:space="0" w:color="auto"/>
      </w:divBdr>
    </w:div>
    <w:div w:id="2057662593">
      <w:bodyDiv w:val="1"/>
      <w:marLeft w:val="0"/>
      <w:marRight w:val="0"/>
      <w:marTop w:val="0"/>
      <w:marBottom w:val="0"/>
      <w:divBdr>
        <w:top w:val="none" w:sz="0" w:space="0" w:color="auto"/>
        <w:left w:val="none" w:sz="0" w:space="0" w:color="auto"/>
        <w:bottom w:val="none" w:sz="0" w:space="0" w:color="auto"/>
        <w:right w:val="none" w:sz="0" w:space="0" w:color="auto"/>
      </w:divBdr>
    </w:div>
    <w:div w:id="2058819772">
      <w:bodyDiv w:val="1"/>
      <w:marLeft w:val="0"/>
      <w:marRight w:val="0"/>
      <w:marTop w:val="0"/>
      <w:marBottom w:val="0"/>
      <w:divBdr>
        <w:top w:val="none" w:sz="0" w:space="0" w:color="auto"/>
        <w:left w:val="none" w:sz="0" w:space="0" w:color="auto"/>
        <w:bottom w:val="none" w:sz="0" w:space="0" w:color="auto"/>
        <w:right w:val="none" w:sz="0" w:space="0" w:color="auto"/>
      </w:divBdr>
    </w:div>
    <w:div w:id="2065912758">
      <w:bodyDiv w:val="1"/>
      <w:marLeft w:val="0"/>
      <w:marRight w:val="0"/>
      <w:marTop w:val="0"/>
      <w:marBottom w:val="0"/>
      <w:divBdr>
        <w:top w:val="none" w:sz="0" w:space="0" w:color="auto"/>
        <w:left w:val="none" w:sz="0" w:space="0" w:color="auto"/>
        <w:bottom w:val="none" w:sz="0" w:space="0" w:color="auto"/>
        <w:right w:val="none" w:sz="0" w:space="0" w:color="auto"/>
      </w:divBdr>
    </w:div>
    <w:div w:id="2069644590">
      <w:bodyDiv w:val="1"/>
      <w:marLeft w:val="0"/>
      <w:marRight w:val="0"/>
      <w:marTop w:val="0"/>
      <w:marBottom w:val="0"/>
      <w:divBdr>
        <w:top w:val="none" w:sz="0" w:space="0" w:color="auto"/>
        <w:left w:val="none" w:sz="0" w:space="0" w:color="auto"/>
        <w:bottom w:val="none" w:sz="0" w:space="0" w:color="auto"/>
        <w:right w:val="none" w:sz="0" w:space="0" w:color="auto"/>
      </w:divBdr>
    </w:div>
    <w:div w:id="2074305931">
      <w:bodyDiv w:val="1"/>
      <w:marLeft w:val="0"/>
      <w:marRight w:val="0"/>
      <w:marTop w:val="0"/>
      <w:marBottom w:val="0"/>
      <w:divBdr>
        <w:top w:val="none" w:sz="0" w:space="0" w:color="auto"/>
        <w:left w:val="none" w:sz="0" w:space="0" w:color="auto"/>
        <w:bottom w:val="none" w:sz="0" w:space="0" w:color="auto"/>
        <w:right w:val="none" w:sz="0" w:space="0" w:color="auto"/>
      </w:divBdr>
    </w:div>
    <w:div w:id="2074812448">
      <w:bodyDiv w:val="1"/>
      <w:marLeft w:val="0"/>
      <w:marRight w:val="0"/>
      <w:marTop w:val="0"/>
      <w:marBottom w:val="0"/>
      <w:divBdr>
        <w:top w:val="none" w:sz="0" w:space="0" w:color="auto"/>
        <w:left w:val="none" w:sz="0" w:space="0" w:color="auto"/>
        <w:bottom w:val="none" w:sz="0" w:space="0" w:color="auto"/>
        <w:right w:val="none" w:sz="0" w:space="0" w:color="auto"/>
      </w:divBdr>
    </w:div>
    <w:div w:id="2089881003">
      <w:bodyDiv w:val="1"/>
      <w:marLeft w:val="0"/>
      <w:marRight w:val="0"/>
      <w:marTop w:val="0"/>
      <w:marBottom w:val="0"/>
      <w:divBdr>
        <w:top w:val="none" w:sz="0" w:space="0" w:color="auto"/>
        <w:left w:val="none" w:sz="0" w:space="0" w:color="auto"/>
        <w:bottom w:val="none" w:sz="0" w:space="0" w:color="auto"/>
        <w:right w:val="none" w:sz="0" w:space="0" w:color="auto"/>
      </w:divBdr>
    </w:div>
    <w:div w:id="2092580920">
      <w:bodyDiv w:val="1"/>
      <w:marLeft w:val="0"/>
      <w:marRight w:val="0"/>
      <w:marTop w:val="0"/>
      <w:marBottom w:val="0"/>
      <w:divBdr>
        <w:top w:val="none" w:sz="0" w:space="0" w:color="auto"/>
        <w:left w:val="none" w:sz="0" w:space="0" w:color="auto"/>
        <w:bottom w:val="none" w:sz="0" w:space="0" w:color="auto"/>
        <w:right w:val="none" w:sz="0" w:space="0" w:color="auto"/>
      </w:divBdr>
    </w:div>
    <w:div w:id="2096707065">
      <w:bodyDiv w:val="1"/>
      <w:marLeft w:val="0"/>
      <w:marRight w:val="0"/>
      <w:marTop w:val="0"/>
      <w:marBottom w:val="0"/>
      <w:divBdr>
        <w:top w:val="none" w:sz="0" w:space="0" w:color="auto"/>
        <w:left w:val="none" w:sz="0" w:space="0" w:color="auto"/>
        <w:bottom w:val="none" w:sz="0" w:space="0" w:color="auto"/>
        <w:right w:val="none" w:sz="0" w:space="0" w:color="auto"/>
      </w:divBdr>
    </w:div>
    <w:div w:id="2106270392">
      <w:bodyDiv w:val="1"/>
      <w:marLeft w:val="0"/>
      <w:marRight w:val="0"/>
      <w:marTop w:val="0"/>
      <w:marBottom w:val="0"/>
      <w:divBdr>
        <w:top w:val="none" w:sz="0" w:space="0" w:color="auto"/>
        <w:left w:val="none" w:sz="0" w:space="0" w:color="auto"/>
        <w:bottom w:val="none" w:sz="0" w:space="0" w:color="auto"/>
        <w:right w:val="none" w:sz="0" w:space="0" w:color="auto"/>
      </w:divBdr>
    </w:div>
    <w:div w:id="2107339346">
      <w:bodyDiv w:val="1"/>
      <w:marLeft w:val="0"/>
      <w:marRight w:val="0"/>
      <w:marTop w:val="0"/>
      <w:marBottom w:val="0"/>
      <w:divBdr>
        <w:top w:val="none" w:sz="0" w:space="0" w:color="auto"/>
        <w:left w:val="none" w:sz="0" w:space="0" w:color="auto"/>
        <w:bottom w:val="none" w:sz="0" w:space="0" w:color="auto"/>
        <w:right w:val="none" w:sz="0" w:space="0" w:color="auto"/>
      </w:divBdr>
    </w:div>
    <w:div w:id="2108693104">
      <w:bodyDiv w:val="1"/>
      <w:marLeft w:val="0"/>
      <w:marRight w:val="0"/>
      <w:marTop w:val="0"/>
      <w:marBottom w:val="0"/>
      <w:divBdr>
        <w:top w:val="none" w:sz="0" w:space="0" w:color="auto"/>
        <w:left w:val="none" w:sz="0" w:space="0" w:color="auto"/>
        <w:bottom w:val="none" w:sz="0" w:space="0" w:color="auto"/>
        <w:right w:val="none" w:sz="0" w:space="0" w:color="auto"/>
      </w:divBdr>
    </w:div>
    <w:div w:id="2118477137">
      <w:bodyDiv w:val="1"/>
      <w:marLeft w:val="0"/>
      <w:marRight w:val="0"/>
      <w:marTop w:val="0"/>
      <w:marBottom w:val="0"/>
      <w:divBdr>
        <w:top w:val="none" w:sz="0" w:space="0" w:color="auto"/>
        <w:left w:val="none" w:sz="0" w:space="0" w:color="auto"/>
        <w:bottom w:val="none" w:sz="0" w:space="0" w:color="auto"/>
        <w:right w:val="none" w:sz="0" w:space="0" w:color="auto"/>
      </w:divBdr>
    </w:div>
    <w:div w:id="2121296384">
      <w:bodyDiv w:val="1"/>
      <w:marLeft w:val="0"/>
      <w:marRight w:val="0"/>
      <w:marTop w:val="0"/>
      <w:marBottom w:val="0"/>
      <w:divBdr>
        <w:top w:val="none" w:sz="0" w:space="0" w:color="auto"/>
        <w:left w:val="none" w:sz="0" w:space="0" w:color="auto"/>
        <w:bottom w:val="none" w:sz="0" w:space="0" w:color="auto"/>
        <w:right w:val="none" w:sz="0" w:space="0" w:color="auto"/>
      </w:divBdr>
    </w:div>
    <w:div w:id="2122144392">
      <w:bodyDiv w:val="1"/>
      <w:marLeft w:val="0"/>
      <w:marRight w:val="0"/>
      <w:marTop w:val="0"/>
      <w:marBottom w:val="0"/>
      <w:divBdr>
        <w:top w:val="none" w:sz="0" w:space="0" w:color="auto"/>
        <w:left w:val="none" w:sz="0" w:space="0" w:color="auto"/>
        <w:bottom w:val="none" w:sz="0" w:space="0" w:color="auto"/>
        <w:right w:val="none" w:sz="0" w:space="0" w:color="auto"/>
      </w:divBdr>
    </w:div>
    <w:div w:id="2134277958">
      <w:bodyDiv w:val="1"/>
      <w:marLeft w:val="0"/>
      <w:marRight w:val="0"/>
      <w:marTop w:val="0"/>
      <w:marBottom w:val="0"/>
      <w:divBdr>
        <w:top w:val="none" w:sz="0" w:space="0" w:color="auto"/>
        <w:left w:val="none" w:sz="0" w:space="0" w:color="auto"/>
        <w:bottom w:val="none" w:sz="0" w:space="0" w:color="auto"/>
        <w:right w:val="none" w:sz="0" w:space="0" w:color="auto"/>
      </w:divBdr>
    </w:div>
    <w:div w:id="2135514967">
      <w:bodyDiv w:val="1"/>
      <w:marLeft w:val="0"/>
      <w:marRight w:val="0"/>
      <w:marTop w:val="0"/>
      <w:marBottom w:val="0"/>
      <w:divBdr>
        <w:top w:val="none" w:sz="0" w:space="0" w:color="auto"/>
        <w:left w:val="none" w:sz="0" w:space="0" w:color="auto"/>
        <w:bottom w:val="none" w:sz="0" w:space="0" w:color="auto"/>
        <w:right w:val="none" w:sz="0" w:space="0" w:color="auto"/>
      </w:divBdr>
    </w:div>
    <w:div w:id="2137868870">
      <w:bodyDiv w:val="1"/>
      <w:marLeft w:val="0"/>
      <w:marRight w:val="0"/>
      <w:marTop w:val="0"/>
      <w:marBottom w:val="0"/>
      <w:divBdr>
        <w:top w:val="none" w:sz="0" w:space="0" w:color="auto"/>
        <w:left w:val="none" w:sz="0" w:space="0" w:color="auto"/>
        <w:bottom w:val="none" w:sz="0" w:space="0" w:color="auto"/>
        <w:right w:val="none" w:sz="0" w:space="0" w:color="auto"/>
      </w:divBdr>
    </w:div>
    <w:div w:id="2145462492">
      <w:bodyDiv w:val="1"/>
      <w:marLeft w:val="0"/>
      <w:marRight w:val="0"/>
      <w:marTop w:val="0"/>
      <w:marBottom w:val="0"/>
      <w:divBdr>
        <w:top w:val="none" w:sz="0" w:space="0" w:color="auto"/>
        <w:left w:val="none" w:sz="0" w:space="0" w:color="auto"/>
        <w:bottom w:val="none" w:sz="0" w:space="0" w:color="auto"/>
        <w:right w:val="none" w:sz="0" w:space="0" w:color="auto"/>
      </w:divBdr>
    </w:div>
    <w:div w:id="21472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svg"/></Relationships>
</file>

<file path=word/_rels/endnotes.xml.rels><?xml version="1.0" encoding="UTF-8" standalone="yes"?>
<Relationships xmlns="http://schemas.openxmlformats.org/package/2006/relationships"><Relationship Id="rId13" Type="http://schemas.openxmlformats.org/officeDocument/2006/relationships/hyperlink" Target="https://www.berec.europa.eu/sites/default/files/files/document_register_store/2021/3/BoR_%2821%29_30_BEREC_opinion_on_the_revision_of_the_BCRD.pdf" TargetMode="External"/><Relationship Id="rId18" Type="http://schemas.openxmlformats.org/officeDocument/2006/relationships/hyperlink" Target="https://www.ludwigsburg24.com/15-millionen-euro-offensive-stadtwerke-ludwigsburg-kornwestheim-bringen-schnelles-internet-nach-asperg/" TargetMode="External"/><Relationship Id="rId26" Type="http://schemas.openxmlformats.org/officeDocument/2006/relationships/hyperlink" Target="https://www.berec.europa.eu/sites/default/files/files/document_register_store/2020/12/BoR_%2820%29_232_BEREC_Guidelines_Art76_%28Clean%29_%28Publication%29.pdf" TargetMode="External"/><Relationship Id="rId39" Type="http://schemas.openxmlformats.org/officeDocument/2006/relationships/hyperlink" Target="https://www.rtr.at/rtr/publikationen/Kommunikationsbericht/RTR_Kommunikationsbericht_23_Engl.pdf" TargetMode="External"/><Relationship Id="rId21" Type="http://schemas.openxmlformats.org/officeDocument/2006/relationships/hyperlink" Target="https://www.rtr.at/rtr/publikationen/Kommunikationsbericht/RTR_Kommunikationsbericht_24_EngWeb_Final.pdf" TargetMode="External"/><Relationship Id="rId34" Type="http://schemas.openxmlformats.org/officeDocument/2006/relationships/hyperlink" Target="https://www.berec.europa.eu/system/files/2025-03/BoR%20%2825%29%2036%20Report_Workshop%20on%20Network%20Resilience.pdf" TargetMode="External"/><Relationship Id="rId42" Type="http://schemas.openxmlformats.org/officeDocument/2006/relationships/hyperlink" Target="https://www.stadtwerke-wolfsburg.de/aktuelles/pressemitteilungen/detail/mehr-glasfaserangebote-fuer-haushalte-in-und-um-wolfsburg-deutsche-glasfaser-und-wobcom-kooperieren" TargetMode="External"/><Relationship Id="rId7" Type="http://schemas.openxmlformats.org/officeDocument/2006/relationships/hyperlink" Target="https://www.oecd.org/content/dam/oecd/en/publications/reports/2021/12/promoting-high-quality-broadband-networks-in-g20-countries_379417ef/cf0093dc-en.pdf" TargetMode="External"/><Relationship Id="rId2" Type="http://schemas.openxmlformats.org/officeDocument/2006/relationships/hyperlink" Target="https://www.itu.int/en/ITU-D/Statistics/Pages/facts/default.aspx" TargetMode="External"/><Relationship Id="rId16" Type="http://schemas.openxmlformats.org/officeDocument/2006/relationships/hyperlink" Target="https://bbcmag.com/municipal-fiber-in-sweden-4/" TargetMode="External"/><Relationship Id="rId20" Type="http://schemas.openxmlformats.org/officeDocument/2006/relationships/hyperlink" Target="https://fiber-products.com/gigabit-strategy-2025/" TargetMode="External"/><Relationship Id="rId29" Type="http://schemas.openxmlformats.org/officeDocument/2006/relationships/hyperlink" Target="https://digital-strategy.ec.europa.eu/en/policies/2024-state-digital-decade-package" TargetMode="External"/><Relationship Id="rId41" Type="http://schemas.openxmlformats.org/officeDocument/2006/relationships/hyperlink" Target="https://www.umeaenergi.se/om-oss/robust-bredband" TargetMode="External"/><Relationship Id="rId1" Type="http://schemas.openxmlformats.org/officeDocument/2006/relationships/hyperlink" Target="https://www.ssnf.org/globalassets/nyheter/uppkopplat---en-tidning-om-sveriges-stadsnat-2023-03-09.pdf" TargetMode="External"/><Relationship Id="rId6" Type="http://schemas.openxmlformats.org/officeDocument/2006/relationships/hyperlink" Target="https://www.ftthcouncil.eu/committees/market-intelligence/2154/2024-ftth-market-panorama-report-by-country" TargetMode="External"/><Relationship Id="rId11" Type="http://schemas.openxmlformats.org/officeDocument/2006/relationships/hyperlink" Target="https://stokab.se/download/18.4e63bdf518e5799b1da147/1712591992160/Stokab_Neutral%20fibre%20as%20platform%20for%20innovation.pdf" TargetMode="External"/><Relationship Id="rId24" Type="http://schemas.openxmlformats.org/officeDocument/2006/relationships/hyperlink" Target="https://www.noegig.at/ueber-noegig/" TargetMode="External"/><Relationship Id="rId32" Type="http://schemas.openxmlformats.org/officeDocument/2006/relationships/hyperlink" Target="https://www.oecd.org/content/dam/oecd/en/publications/reports/2024/06/financing-broadband-networks-of-the-future_812ce667/eafc728b-en.pdf" TargetMode="External"/><Relationship Id="rId37" Type="http://schemas.openxmlformats.org/officeDocument/2006/relationships/hyperlink" Target="https://eur-lex.europa.eu/EN/legal-content/summary/european-electronic-communications-code.html" TargetMode="External"/><Relationship Id="rId40" Type="http://schemas.openxmlformats.org/officeDocument/2006/relationships/hyperlink" Target="https://www.oecd.org/content/dam/oecd/en/publications/reports/2024/11/oecd-digital-economy-outlook-2024-volume-2_9b2801fc/3adf705b-en.pdf" TargetMode="External"/><Relationship Id="rId5" Type="http://schemas.openxmlformats.org/officeDocument/2006/relationships/hyperlink" Target="https://www.oecd.org/en/data/insights/statistical-releases/2025/05/fibre-and-5g-continue-to-expand-their-footprint-while-fixed-wireless-access-gains-ground-in-oecd-countries.html" TargetMode="External"/><Relationship Id="rId15" Type="http://schemas.openxmlformats.org/officeDocument/2006/relationships/hyperlink" Target="https://www.infrastrukturnyheter.se/20221118/27020/skelleftea-kraft-beviljas-bredbandsstod-glesbygd" TargetMode="External"/><Relationship Id="rId23" Type="http://schemas.openxmlformats.org/officeDocument/2006/relationships/hyperlink" Target="https://digital-strategy.ec.europa.eu/en/policies/digital-connectivity-austria" TargetMode="External"/><Relationship Id="rId28" Type="http://schemas.openxmlformats.org/officeDocument/2006/relationships/hyperlink" Target="https://www.vatm.de/studie-zeigt-kooperationen-und-open-access-sind-schluessel-fuer-den-glasfaser-erfolg-in-deutschland/" TargetMode="External"/><Relationship Id="rId36" Type="http://schemas.openxmlformats.org/officeDocument/2006/relationships/hyperlink" Target="https://a.storyblok.com/f/162274/x/d4a04d5e9b/umea-energi-ars-och-hallbarhetsredovisning-2024.pdf" TargetMode="External"/><Relationship Id="rId10" Type="http://schemas.openxmlformats.org/officeDocument/2006/relationships/hyperlink" Target="https://rural-interfaces.eu/wp-content/uploads/2022/11/MAP_PP-SW_final_v3.pdf" TargetMode="External"/><Relationship Id="rId19" Type="http://schemas.openxmlformats.org/officeDocument/2006/relationships/hyperlink" Target="https://www.die-bbh-gruppe.de/en/newsroom/news/unique-project-in-germany-bbh-provides-assistance-in-cooperation-project-of-stadtwerke-ludwigsburg-kornwestheim-and-deutsche-telekom-in-the-fibre-optic-expansion" TargetMode="External"/><Relationship Id="rId31" Type="http://schemas.openxmlformats.org/officeDocument/2006/relationships/hyperlink" Target="https://www.oecd.org/content/dam/oecd/en/publications/reports/2013/03/broadband-networks-and-open-access_g17a2259/5k49qgz7crmr-en.pdf" TargetMode="External"/><Relationship Id="rId4" Type="http://schemas.openxmlformats.org/officeDocument/2006/relationships/hyperlink" Target="https://digital-strategy.ec.europa.eu/en/policies/desi" TargetMode="External"/><Relationship Id="rId9" Type="http://schemas.openxmlformats.org/officeDocument/2006/relationships/hyperlink" Target="https://eur-lex.europa.eu/legal-content/EN/TXT/PDF/?uri=CELEX:32022D2481" TargetMode="External"/><Relationship Id="rId14" Type="http://schemas.openxmlformats.org/officeDocument/2006/relationships/hyperlink" Target="https://stadsnatsforeningen.se/globalassets/press-och-asikter/remisser/2024/response-to-the-european-commissions-white-paper---stadsnatsforeningen-slutversion.pdf" TargetMode="External"/><Relationship Id="rId22" Type="http://schemas.openxmlformats.org/officeDocument/2006/relationships/hyperlink" Target="https://www.ffg.at/Breitband2030/Foerderuebersicht" TargetMode="External"/><Relationship Id="rId27" Type="http://schemas.openxmlformats.org/officeDocument/2006/relationships/hyperlink" Target="https://www.vatm.de/wp-content/uploads/2025/09/2025-09-08_SBR_VATM-Studie_Netznutzungsmodelle_Open-Access.pdf" TargetMode="External"/><Relationship Id="rId30" Type="http://schemas.openxmlformats.org/officeDocument/2006/relationships/hyperlink" Target="https://www.berec.europa.eu/sites/default/files/files/document_register_store/2020/10/BoR_%2820%29_165_BEREC_Guidelines_VHCN.pdf" TargetMode="External"/><Relationship Id="rId35" Type="http://schemas.openxmlformats.org/officeDocument/2006/relationships/hyperlink" Target="https://www.vku.de/themen/digitalisierung/" TargetMode="External"/><Relationship Id="rId43" Type="http://schemas.openxmlformats.org/officeDocument/2006/relationships/hyperlink" Target="https://www.glasfaser-muenster.de/glasfaser-kooperation" TargetMode="External"/><Relationship Id="rId8" Type="http://schemas.openxmlformats.org/officeDocument/2006/relationships/hyperlink" Target="https://digital-strategy.ec.europa.eu/en/policies/europes-digital-decade" TargetMode="External"/><Relationship Id="rId3" Type="http://schemas.openxmlformats.org/officeDocument/2006/relationships/hyperlink" Target="https://www.worldbank.org/en/topic/digitaldevelopment/publication/broadband-for-all" TargetMode="External"/><Relationship Id="rId12" Type="http://schemas.openxmlformats.org/officeDocument/2006/relationships/hyperlink" Target="https://www.ftthcouncil.eu/resources/all-publications-and-assets/2045/ftth-b-in-rural-areas-2024" TargetMode="External"/><Relationship Id="rId17" Type="http://schemas.openxmlformats.org/officeDocument/2006/relationships/hyperlink" Target="https://www.swlb.de/de/SWLB-Navigation/Presse/Pressemeldungen-2022-2023/SWLB-Ueber-die-Haelfte-Ludwigsburgs-mit-Glasfaser-ausgebaut-2023-02-03.html" TargetMode="External"/><Relationship Id="rId25" Type="http://schemas.openxmlformats.org/officeDocument/2006/relationships/hyperlink" Target="https://eur-lex.europa.eu/legal-content/EN/TXT/PDF/?uri=CELEX:32018L1972" TargetMode="External"/><Relationship Id="rId33" Type="http://schemas.openxmlformats.org/officeDocument/2006/relationships/hyperlink" Target="https://www.enisa.europa.eu/publications/5g-security-controls-matrix" TargetMode="External"/><Relationship Id="rId38" Type="http://schemas.openxmlformats.org/officeDocument/2006/relationships/hyperlink" Target="https://pts.se/contentassets/29b19e7d2bfd4c588b1fb4b2e420e39a/anvisningar-och-forutsattningar-for-pts-bredbandsstod-2024.pdf" TargetMode="External"/></Relationships>
</file>

<file path=word/theme/theme1.xml><?xml version="1.0" encoding="utf-8"?>
<a:theme xmlns:a="http://schemas.openxmlformats.org/drawingml/2006/main" name="ADL Gradient Theme">
  <a:themeElements>
    <a:clrScheme name="ADL">
      <a:dk1>
        <a:srgbClr val="0D003F"/>
      </a:dk1>
      <a:lt1>
        <a:sysClr val="window" lastClr="FFFFFF"/>
      </a:lt1>
      <a:dk2>
        <a:srgbClr val="6E668C"/>
      </a:dk2>
      <a:lt2>
        <a:srgbClr val="D1E0FB"/>
      </a:lt2>
      <a:accent1>
        <a:srgbClr val="1774F5"/>
      </a:accent1>
      <a:accent2>
        <a:srgbClr val="6CB0FF"/>
      </a:accent2>
      <a:accent3>
        <a:srgbClr val="8EF4FF"/>
      </a:accent3>
      <a:accent4>
        <a:srgbClr val="C3C3DA"/>
      </a:accent4>
      <a:accent5>
        <a:srgbClr val="0D003F"/>
      </a:accent5>
      <a:accent6>
        <a:srgbClr val="A336DE"/>
      </a:accent6>
      <a:hlink>
        <a:srgbClr val="1774F5"/>
      </a:hlink>
      <a:folHlink>
        <a:srgbClr val="00AAC1"/>
      </a:folHlink>
    </a:clrScheme>
    <a:fontScheme name="ADL">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72000" tIns="72000" rIns="72000" bIns="72000" numCol="1" spcCol="0" rtlCol="0" fromWordArt="0" anchor="ctr" anchorCtr="0" forceAA="0" compatLnSpc="1">
        <a:prstTxWarp prst="textNoShape">
          <a:avLst/>
        </a:prstTxWarp>
        <a:noAutofit/>
      </a:bodyPr>
      <a:lstStyle>
        <a:defPPr algn="ctr">
          <a:defRPr sz="14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vert="horz" wrap="square" lIns="0" tIns="0" rIns="0" bIns="0" rtlCol="0">
        <a:noAutofit/>
      </a:bodyPr>
      <a:lstStyle>
        <a:defPPr algn="l">
          <a:defRPr sz="1400" dirty="0" err="1" smtClean="0"/>
        </a:defPPr>
      </a:lstStyle>
    </a:txDef>
  </a:objectDefaults>
  <a:extraClrSchemeLst/>
  <a:custClrLst>
    <a:custClr name="Orange">
      <a:srgbClr val="E44C0F"/>
    </a:custClr>
    <a:custClr name="Burnt Orange">
      <a:srgbClr val="E68723"/>
    </a:custClr>
    <a:custClr name="Purple">
      <a:srgbClr val="6536A2"/>
    </a:custClr>
    <a:custClr name="Mauve">
      <a:srgbClr val="C336FF"/>
    </a:custClr>
    <a:custClr name="Light Purple">
      <a:srgbClr val="DF9AFF"/>
    </a:custClr>
    <a:custClr name="Green">
      <a:srgbClr val="22B482"/>
    </a:custClr>
    <a:custClr name="Light Green">
      <a:srgbClr val="52EE94"/>
    </a:custClr>
    <a:custClr name="Mint">
      <a:srgbClr val="B4F0D1"/>
    </a:custClr>
    <a:custClr name="Dark Yellow">
      <a:srgbClr val="DB9A2C"/>
    </a:custClr>
    <a:custClr name="Yellow">
      <a:srgbClr val="FFC936"/>
    </a:custClr>
    <a:custClr name="Red">
      <a:srgbClr val="900048"/>
    </a:custClr>
    <a:custClr name="Light Blue">
      <a:srgbClr val="81CCE3"/>
    </a:custClr>
    <a:custClr name="Dark Blue">
      <a:srgbClr val="007FA3"/>
    </a:custClr>
  </a:custClrLst>
  <a:extLst>
    <a:ext uri="{05A4C25C-085E-4340-85A3-A5531E510DB2}">
      <thm15:themeFamily xmlns:thm15="http://schemas.microsoft.com/office/thememl/2012/main" name="ADL Gradient Theme" id="{9E5EA044-A08A-4230-BE52-C2E2CF2DC397}" vid="{B2E532A2-1781-4252-BE5A-4F348616F0F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3568CA49D45347BF2B6523517B09E7" ma:contentTypeVersion="3" ma:contentTypeDescription="Create a new document." ma:contentTypeScope="" ma:versionID="040af5a0db0b009d290785ff4dd15a9b">
  <xsd:schema xmlns:xsd="http://www.w3.org/2001/XMLSchema" xmlns:xs="http://www.w3.org/2001/XMLSchema" xmlns:p="http://schemas.microsoft.com/office/2006/metadata/properties" xmlns:ns2="6c155139-3e69-4641-b60d-f908163b4243" targetNamespace="http://schemas.microsoft.com/office/2006/metadata/properties" ma:root="true" ma:fieldsID="70ec9ce45f53df5d3367287ab6edf158" ns2:_="">
    <xsd:import namespace="6c155139-3e69-4641-b60d-f908163b424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155139-3e69-4641-b60d-f908163b4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b:Source>
    <b:Tag>Eur</b:Tag>
    <b:SourceType>Book</b:SourceType>
    <b:Guid>{DBEC6E04-DB8C-4013-BCC7-FE57B35076E6}</b:Guid>
    <b:Author>
      <b:Author>
        <b:NameList>
          <b:Person>
            <b:Last>Needs.</b:Last>
            <b:First>European</b:First>
            <b:Middle>Commission (2024). White Paper – How to Master Europe’s Digital Infrastructure</b:Middle>
          </b:Person>
        </b:NameList>
      </b:Author>
    </b:Author>
    <b:RefOrder>1</b:RefOrder>
  </b:Source>
</b:Sources>
</file>

<file path=customXml/itemProps1.xml><?xml version="1.0" encoding="utf-8"?>
<ds:datastoreItem xmlns:ds="http://schemas.openxmlformats.org/officeDocument/2006/customXml" ds:itemID="{734B9159-0CCB-4ACA-B56F-20BCDAD968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648990-C270-45E1-AD41-080F44D480A2}">
  <ds:schemaRefs>
    <ds:schemaRef ds:uri="http://schemas.microsoft.com/sharepoint/v3/contenttype/forms"/>
  </ds:schemaRefs>
</ds:datastoreItem>
</file>

<file path=customXml/itemProps3.xml><?xml version="1.0" encoding="utf-8"?>
<ds:datastoreItem xmlns:ds="http://schemas.openxmlformats.org/officeDocument/2006/customXml" ds:itemID="{F933C09F-80FC-41FF-A866-8673F35D1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155139-3e69-4641-b60d-f908163b4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866DEE-6C17-41DD-95BC-CC1C5C0D2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11204</Words>
  <Characters>75010</Characters>
  <Application>Microsoft Office Word</Application>
  <DocSecurity>0</DocSecurity>
  <Lines>625</Lines>
  <Paragraphs>172</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86042</CharactersWithSpaces>
  <SharedDoc>false</SharedDoc>
  <HLinks>
    <vt:vector size="258" baseType="variant">
      <vt:variant>
        <vt:i4>6815868</vt:i4>
      </vt:variant>
      <vt:variant>
        <vt:i4>126</vt:i4>
      </vt:variant>
      <vt:variant>
        <vt:i4>0</vt:i4>
      </vt:variant>
      <vt:variant>
        <vt:i4>5</vt:i4>
      </vt:variant>
      <vt:variant>
        <vt:lpwstr>https://www.glasfaser-muenster.de/glasfaser-kooperation</vt:lpwstr>
      </vt:variant>
      <vt:variant>
        <vt:lpwstr/>
      </vt:variant>
      <vt:variant>
        <vt:i4>3538990</vt:i4>
      </vt:variant>
      <vt:variant>
        <vt:i4>123</vt:i4>
      </vt:variant>
      <vt:variant>
        <vt:i4>0</vt:i4>
      </vt:variant>
      <vt:variant>
        <vt:i4>5</vt:i4>
      </vt:variant>
      <vt:variant>
        <vt:lpwstr>https://www.stadtwerke-wolfsburg.de/aktuelles/pressemitteilungen/detail/mehr-glasfaserangebote-fuer-haushalte-in-und-um-wolfsburg-deutsche-glasfaser-und-wobcom-kooperieren</vt:lpwstr>
      </vt:variant>
      <vt:variant>
        <vt:lpwstr/>
      </vt:variant>
      <vt:variant>
        <vt:i4>4259847</vt:i4>
      </vt:variant>
      <vt:variant>
        <vt:i4>120</vt:i4>
      </vt:variant>
      <vt:variant>
        <vt:i4>0</vt:i4>
      </vt:variant>
      <vt:variant>
        <vt:i4>5</vt:i4>
      </vt:variant>
      <vt:variant>
        <vt:lpwstr>https://www.umeaenergi.se/om-oss/robust-bredband</vt:lpwstr>
      </vt:variant>
      <vt:variant>
        <vt:lpwstr/>
      </vt:variant>
      <vt:variant>
        <vt:i4>1114235</vt:i4>
      </vt:variant>
      <vt:variant>
        <vt:i4>117</vt:i4>
      </vt:variant>
      <vt:variant>
        <vt:i4>0</vt:i4>
      </vt:variant>
      <vt:variant>
        <vt:i4>5</vt:i4>
      </vt:variant>
      <vt:variant>
        <vt:lpwstr>https://www.oecd.org/content/dam/oecd/en/publications/reports/2024/11/oecd-digital-economy-outlook-2024-volume-2_9b2801fc/3adf705b-en.pdf</vt:lpwstr>
      </vt:variant>
      <vt:variant>
        <vt:lpwstr/>
      </vt:variant>
      <vt:variant>
        <vt:i4>7077974</vt:i4>
      </vt:variant>
      <vt:variant>
        <vt:i4>114</vt:i4>
      </vt:variant>
      <vt:variant>
        <vt:i4>0</vt:i4>
      </vt:variant>
      <vt:variant>
        <vt:i4>5</vt:i4>
      </vt:variant>
      <vt:variant>
        <vt:lpwstr>https://www.rtr.at/rtr/publikationen/Kommunikationsbericht/RTR_Kommunikationsbericht_23_Engl.pdf</vt:lpwstr>
      </vt:variant>
      <vt:variant>
        <vt:lpwstr/>
      </vt:variant>
      <vt:variant>
        <vt:i4>917504</vt:i4>
      </vt:variant>
      <vt:variant>
        <vt:i4>111</vt:i4>
      </vt:variant>
      <vt:variant>
        <vt:i4>0</vt:i4>
      </vt:variant>
      <vt:variant>
        <vt:i4>5</vt:i4>
      </vt:variant>
      <vt:variant>
        <vt:lpwstr>https://pts.se/contentassets/29b19e7d2bfd4c588b1fb4b2e420e39a/anvisningar-och-forutsattningar-for-pts-bredbandsstod-2024.pdf</vt:lpwstr>
      </vt:variant>
      <vt:variant>
        <vt:lpwstr/>
      </vt:variant>
      <vt:variant>
        <vt:i4>2949239</vt:i4>
      </vt:variant>
      <vt:variant>
        <vt:i4>108</vt:i4>
      </vt:variant>
      <vt:variant>
        <vt:i4>0</vt:i4>
      </vt:variant>
      <vt:variant>
        <vt:i4>5</vt:i4>
      </vt:variant>
      <vt:variant>
        <vt:lpwstr>https://eur-lex.europa.eu/EN/legal-content/summary/european-electronic-communications-code.html</vt:lpwstr>
      </vt:variant>
      <vt:variant>
        <vt:lpwstr/>
      </vt:variant>
      <vt:variant>
        <vt:i4>6225949</vt:i4>
      </vt:variant>
      <vt:variant>
        <vt:i4>105</vt:i4>
      </vt:variant>
      <vt:variant>
        <vt:i4>0</vt:i4>
      </vt:variant>
      <vt:variant>
        <vt:i4>5</vt:i4>
      </vt:variant>
      <vt:variant>
        <vt:lpwstr>https://a.storyblok.com/f/162274/x/d4a04d5e9b/umea-energi-ars-och-hallbarhetsredovisning-2024.pdf</vt:lpwstr>
      </vt:variant>
      <vt:variant>
        <vt:lpwstr/>
      </vt:variant>
      <vt:variant>
        <vt:i4>6357116</vt:i4>
      </vt:variant>
      <vt:variant>
        <vt:i4>102</vt:i4>
      </vt:variant>
      <vt:variant>
        <vt:i4>0</vt:i4>
      </vt:variant>
      <vt:variant>
        <vt:i4>5</vt:i4>
      </vt:variant>
      <vt:variant>
        <vt:lpwstr>https://www.vku.de/themen/digitalisierung/</vt:lpwstr>
      </vt:variant>
      <vt:variant>
        <vt:lpwstr/>
      </vt:variant>
      <vt:variant>
        <vt:i4>524330</vt:i4>
      </vt:variant>
      <vt:variant>
        <vt:i4>99</vt:i4>
      </vt:variant>
      <vt:variant>
        <vt:i4>0</vt:i4>
      </vt:variant>
      <vt:variant>
        <vt:i4>5</vt:i4>
      </vt:variant>
      <vt:variant>
        <vt:lpwstr>https://www.berec.europa.eu/system/files/2025-03/BoR %2825%29 36 Report_Workshop on Network Resilience.pdf</vt:lpwstr>
      </vt:variant>
      <vt:variant>
        <vt:lpwstr/>
      </vt:variant>
      <vt:variant>
        <vt:i4>1376264</vt:i4>
      </vt:variant>
      <vt:variant>
        <vt:i4>96</vt:i4>
      </vt:variant>
      <vt:variant>
        <vt:i4>0</vt:i4>
      </vt:variant>
      <vt:variant>
        <vt:i4>5</vt:i4>
      </vt:variant>
      <vt:variant>
        <vt:lpwstr>https://www.enisa.europa.eu/publications/5g-security-controls-matrix</vt:lpwstr>
      </vt:variant>
      <vt:variant>
        <vt:lpwstr/>
      </vt:variant>
      <vt:variant>
        <vt:i4>65659</vt:i4>
      </vt:variant>
      <vt:variant>
        <vt:i4>93</vt:i4>
      </vt:variant>
      <vt:variant>
        <vt:i4>0</vt:i4>
      </vt:variant>
      <vt:variant>
        <vt:i4>5</vt:i4>
      </vt:variant>
      <vt:variant>
        <vt:lpwstr>https://www.oecd.org/content/dam/oecd/en/publications/reports/2024/06/financing-broadband-networks-of-the-future_812ce667/eafc728b-en.pdf</vt:lpwstr>
      </vt:variant>
      <vt:variant>
        <vt:lpwstr/>
      </vt:variant>
      <vt:variant>
        <vt:i4>4522030</vt:i4>
      </vt:variant>
      <vt:variant>
        <vt:i4>90</vt:i4>
      </vt:variant>
      <vt:variant>
        <vt:i4>0</vt:i4>
      </vt:variant>
      <vt:variant>
        <vt:i4>5</vt:i4>
      </vt:variant>
      <vt:variant>
        <vt:lpwstr>https://www.oecd.org/content/dam/oecd/en/publications/reports/2013/03/broadband-networks-and-open-access_g17a2259/5k49qgz7crmr-en.pdf</vt:lpwstr>
      </vt:variant>
      <vt:variant>
        <vt:lpwstr/>
      </vt:variant>
      <vt:variant>
        <vt:i4>2097174</vt:i4>
      </vt:variant>
      <vt:variant>
        <vt:i4>87</vt:i4>
      </vt:variant>
      <vt:variant>
        <vt:i4>0</vt:i4>
      </vt:variant>
      <vt:variant>
        <vt:i4>5</vt:i4>
      </vt:variant>
      <vt:variant>
        <vt:lpwstr>https://www.berec.europa.eu/sites/default/files/files/document_register_store/2020/10/BoR_%2820%29_165_BEREC_Guidelines_VHCN.pdf</vt:lpwstr>
      </vt:variant>
      <vt:variant>
        <vt:lpwstr/>
      </vt:variant>
      <vt:variant>
        <vt:i4>4063281</vt:i4>
      </vt:variant>
      <vt:variant>
        <vt:i4>84</vt:i4>
      </vt:variant>
      <vt:variant>
        <vt:i4>0</vt:i4>
      </vt:variant>
      <vt:variant>
        <vt:i4>5</vt:i4>
      </vt:variant>
      <vt:variant>
        <vt:lpwstr>https://digital-strategy.ec.europa.eu/en/policies/2024-state-digital-decade-package</vt:lpwstr>
      </vt:variant>
      <vt:variant>
        <vt:lpwstr/>
      </vt:variant>
      <vt:variant>
        <vt:i4>4390988</vt:i4>
      </vt:variant>
      <vt:variant>
        <vt:i4>81</vt:i4>
      </vt:variant>
      <vt:variant>
        <vt:i4>0</vt:i4>
      </vt:variant>
      <vt:variant>
        <vt:i4>5</vt:i4>
      </vt:variant>
      <vt:variant>
        <vt:lpwstr>https://www.vatm.de/studie-zeigt-kooperationen-und-open-access-sind-schluessel-fuer-den-glasfaser-erfolg-in-deutschland/</vt:lpwstr>
      </vt:variant>
      <vt:variant>
        <vt:lpwstr/>
      </vt:variant>
      <vt:variant>
        <vt:i4>1376268</vt:i4>
      </vt:variant>
      <vt:variant>
        <vt:i4>78</vt:i4>
      </vt:variant>
      <vt:variant>
        <vt:i4>0</vt:i4>
      </vt:variant>
      <vt:variant>
        <vt:i4>5</vt:i4>
      </vt:variant>
      <vt:variant>
        <vt:lpwstr>https://www.vatm.de/wp-content/uploads/2025/09/2025-09-08_SBR_VATM-Studie_Netznutzungsmodelle_Open-Access.pdf</vt:lpwstr>
      </vt:variant>
      <vt:variant>
        <vt:lpwstr/>
      </vt:variant>
      <vt:variant>
        <vt:i4>5111921</vt:i4>
      </vt:variant>
      <vt:variant>
        <vt:i4>75</vt:i4>
      </vt:variant>
      <vt:variant>
        <vt:i4>0</vt:i4>
      </vt:variant>
      <vt:variant>
        <vt:i4>5</vt:i4>
      </vt:variant>
      <vt:variant>
        <vt:lpwstr>https://www.berec.europa.eu/sites/default/files/files/document_register_store/2020/12/BoR_%2820%29_232_BEREC_Guidelines_Art76_%28Clean%29_%28Publication%29.pdf</vt:lpwstr>
      </vt:variant>
      <vt:variant>
        <vt:lpwstr/>
      </vt:variant>
      <vt:variant>
        <vt:i4>1441796</vt:i4>
      </vt:variant>
      <vt:variant>
        <vt:i4>72</vt:i4>
      </vt:variant>
      <vt:variant>
        <vt:i4>0</vt:i4>
      </vt:variant>
      <vt:variant>
        <vt:i4>5</vt:i4>
      </vt:variant>
      <vt:variant>
        <vt:lpwstr>https://eur-lex.europa.eu/legal-content/EN/TXT/PDF/?uri=CELEX:32018L1972</vt:lpwstr>
      </vt:variant>
      <vt:variant>
        <vt:lpwstr/>
      </vt:variant>
      <vt:variant>
        <vt:i4>2818175</vt:i4>
      </vt:variant>
      <vt:variant>
        <vt:i4>69</vt:i4>
      </vt:variant>
      <vt:variant>
        <vt:i4>0</vt:i4>
      </vt:variant>
      <vt:variant>
        <vt:i4>5</vt:i4>
      </vt:variant>
      <vt:variant>
        <vt:lpwstr>https://www.noegig.at/ueber-noegig/</vt:lpwstr>
      </vt:variant>
      <vt:variant>
        <vt:lpwstr/>
      </vt:variant>
      <vt:variant>
        <vt:i4>2293806</vt:i4>
      </vt:variant>
      <vt:variant>
        <vt:i4>66</vt:i4>
      </vt:variant>
      <vt:variant>
        <vt:i4>0</vt:i4>
      </vt:variant>
      <vt:variant>
        <vt:i4>5</vt:i4>
      </vt:variant>
      <vt:variant>
        <vt:lpwstr>https://digital-strategy.ec.europa.eu/en/policies/digital-connectivity-austria</vt:lpwstr>
      </vt:variant>
      <vt:variant>
        <vt:lpwstr/>
      </vt:variant>
      <vt:variant>
        <vt:i4>7536682</vt:i4>
      </vt:variant>
      <vt:variant>
        <vt:i4>63</vt:i4>
      </vt:variant>
      <vt:variant>
        <vt:i4>0</vt:i4>
      </vt:variant>
      <vt:variant>
        <vt:i4>5</vt:i4>
      </vt:variant>
      <vt:variant>
        <vt:lpwstr>https://www.ffg.at/Breitband2030/Foerderuebersicht</vt:lpwstr>
      </vt:variant>
      <vt:variant>
        <vt:lpwstr/>
      </vt:variant>
      <vt:variant>
        <vt:i4>7405667</vt:i4>
      </vt:variant>
      <vt:variant>
        <vt:i4>60</vt:i4>
      </vt:variant>
      <vt:variant>
        <vt:i4>0</vt:i4>
      </vt:variant>
      <vt:variant>
        <vt:i4>5</vt:i4>
      </vt:variant>
      <vt:variant>
        <vt:lpwstr>https://www.rtr.at/rtr/publikationen/Kommunikationsbericht/RTR_Kommunikationsbericht_24_EngWeb_Final.pdf</vt:lpwstr>
      </vt:variant>
      <vt:variant>
        <vt:lpwstr/>
      </vt:variant>
      <vt:variant>
        <vt:i4>1310723</vt:i4>
      </vt:variant>
      <vt:variant>
        <vt:i4>57</vt:i4>
      </vt:variant>
      <vt:variant>
        <vt:i4>0</vt:i4>
      </vt:variant>
      <vt:variant>
        <vt:i4>5</vt:i4>
      </vt:variant>
      <vt:variant>
        <vt:lpwstr>https://fiber-products.com/gigabit-strategy-2025/</vt:lpwstr>
      </vt:variant>
      <vt:variant>
        <vt:lpwstr/>
      </vt:variant>
      <vt:variant>
        <vt:i4>4980803</vt:i4>
      </vt:variant>
      <vt:variant>
        <vt:i4>54</vt:i4>
      </vt:variant>
      <vt:variant>
        <vt:i4>0</vt:i4>
      </vt:variant>
      <vt:variant>
        <vt:i4>5</vt:i4>
      </vt:variant>
      <vt:variant>
        <vt:lpwstr>https://www.die-bbh-gruppe.de/en/newsroom/news/unique-project-in-germany-bbh-provides-assistance-in-cooperation-project-of-stadtwerke-ludwigsburg-kornwestheim-and-deutsche-telekom-in-the-fibre-optic-expansion</vt:lpwstr>
      </vt:variant>
      <vt:variant>
        <vt:lpwstr/>
      </vt:variant>
      <vt:variant>
        <vt:i4>5308446</vt:i4>
      </vt:variant>
      <vt:variant>
        <vt:i4>51</vt:i4>
      </vt:variant>
      <vt:variant>
        <vt:i4>0</vt:i4>
      </vt:variant>
      <vt:variant>
        <vt:i4>5</vt:i4>
      </vt:variant>
      <vt:variant>
        <vt:lpwstr>https://www.ludwigsburg24.com/15-millionen-euro-offensive-stadtwerke-ludwigsburg-kornwestheim-bringen-schnelles-internet-nach-asperg/</vt:lpwstr>
      </vt:variant>
      <vt:variant>
        <vt:lpwstr/>
      </vt:variant>
      <vt:variant>
        <vt:i4>2621494</vt:i4>
      </vt:variant>
      <vt:variant>
        <vt:i4>48</vt:i4>
      </vt:variant>
      <vt:variant>
        <vt:i4>0</vt:i4>
      </vt:variant>
      <vt:variant>
        <vt:i4>5</vt:i4>
      </vt:variant>
      <vt:variant>
        <vt:lpwstr>https://www.swlb.de/de/SWLB-Navigation/Presse/Pressemeldungen-2022-2023/SWLB-Ueber-die-Haelfte-Ludwigsburgs-mit-Glasfaser-ausgebaut-2023-02-03.html</vt:lpwstr>
      </vt:variant>
      <vt:variant>
        <vt:lpwstr/>
      </vt:variant>
      <vt:variant>
        <vt:i4>7340134</vt:i4>
      </vt:variant>
      <vt:variant>
        <vt:i4>45</vt:i4>
      </vt:variant>
      <vt:variant>
        <vt:i4>0</vt:i4>
      </vt:variant>
      <vt:variant>
        <vt:i4>5</vt:i4>
      </vt:variant>
      <vt:variant>
        <vt:lpwstr>https://bbcmag.com/municipal-fiber-in-sweden-4/</vt:lpwstr>
      </vt:variant>
      <vt:variant>
        <vt:lpwstr/>
      </vt:variant>
      <vt:variant>
        <vt:i4>3735655</vt:i4>
      </vt:variant>
      <vt:variant>
        <vt:i4>42</vt:i4>
      </vt:variant>
      <vt:variant>
        <vt:i4>0</vt:i4>
      </vt:variant>
      <vt:variant>
        <vt:i4>5</vt:i4>
      </vt:variant>
      <vt:variant>
        <vt:lpwstr>https://www.infrastrukturnyheter.se/20221118/27020/skelleftea-kraft-beviljas-bredbandsstod-glesbygd</vt:lpwstr>
      </vt:variant>
      <vt:variant>
        <vt:lpwstr/>
      </vt:variant>
      <vt:variant>
        <vt:i4>2490425</vt:i4>
      </vt:variant>
      <vt:variant>
        <vt:i4>39</vt:i4>
      </vt:variant>
      <vt:variant>
        <vt:i4>0</vt:i4>
      </vt:variant>
      <vt:variant>
        <vt:i4>5</vt:i4>
      </vt:variant>
      <vt:variant>
        <vt:lpwstr>https://stadsnatsforeningen.se/globalassets/press-och-asikter/remisser/2024/response-to-the-european-commissions-white-paper---stadsnatsforeningen-slutversion.pdf</vt:lpwstr>
      </vt:variant>
      <vt:variant>
        <vt:lpwstr/>
      </vt:variant>
      <vt:variant>
        <vt:i4>7733364</vt:i4>
      </vt:variant>
      <vt:variant>
        <vt:i4>36</vt:i4>
      </vt:variant>
      <vt:variant>
        <vt:i4>0</vt:i4>
      </vt:variant>
      <vt:variant>
        <vt:i4>5</vt:i4>
      </vt:variant>
      <vt:variant>
        <vt:lpwstr>https://www.berec.europa.eu/sites/default/files/files/document_register_store/2021/3/BoR_%2821%29_30_BEREC_opinion_on_the_revision_of_the_BCRD.pdf</vt:lpwstr>
      </vt:variant>
      <vt:variant>
        <vt:lpwstr/>
      </vt:variant>
      <vt:variant>
        <vt:i4>524366</vt:i4>
      </vt:variant>
      <vt:variant>
        <vt:i4>33</vt:i4>
      </vt:variant>
      <vt:variant>
        <vt:i4>0</vt:i4>
      </vt:variant>
      <vt:variant>
        <vt:i4>5</vt:i4>
      </vt:variant>
      <vt:variant>
        <vt:lpwstr>https://www.ftthcouncil.eu/resources/all-publications-and-assets/2045/ftth-b-in-rural-areas-2024</vt:lpwstr>
      </vt:variant>
      <vt:variant>
        <vt:lpwstr/>
      </vt:variant>
      <vt:variant>
        <vt:i4>720944</vt:i4>
      </vt:variant>
      <vt:variant>
        <vt:i4>30</vt:i4>
      </vt:variant>
      <vt:variant>
        <vt:i4>0</vt:i4>
      </vt:variant>
      <vt:variant>
        <vt:i4>5</vt:i4>
      </vt:variant>
      <vt:variant>
        <vt:lpwstr>https://stokab.se/download/18.4e63bdf518e5799b1da147/1712591992160/Stokab_Neutral fibre as platform for innovation.pdf</vt:lpwstr>
      </vt:variant>
      <vt:variant>
        <vt:lpwstr/>
      </vt:variant>
      <vt:variant>
        <vt:i4>589858</vt:i4>
      </vt:variant>
      <vt:variant>
        <vt:i4>27</vt:i4>
      </vt:variant>
      <vt:variant>
        <vt:i4>0</vt:i4>
      </vt:variant>
      <vt:variant>
        <vt:i4>5</vt:i4>
      </vt:variant>
      <vt:variant>
        <vt:lpwstr>https://rural-interfaces.eu/wp-content/uploads/2022/11/MAP_PP-SW_final_v3.pdf</vt:lpwstr>
      </vt:variant>
      <vt:variant>
        <vt:lpwstr/>
      </vt:variant>
      <vt:variant>
        <vt:i4>1245186</vt:i4>
      </vt:variant>
      <vt:variant>
        <vt:i4>24</vt:i4>
      </vt:variant>
      <vt:variant>
        <vt:i4>0</vt:i4>
      </vt:variant>
      <vt:variant>
        <vt:i4>5</vt:i4>
      </vt:variant>
      <vt:variant>
        <vt:lpwstr>https://eur-lex.europa.eu/legal-content/EN/TXT/PDF/?uri=CELEX:32022D2481</vt:lpwstr>
      </vt:variant>
      <vt:variant>
        <vt:lpwstr/>
      </vt:variant>
      <vt:variant>
        <vt:i4>655362</vt:i4>
      </vt:variant>
      <vt:variant>
        <vt:i4>21</vt:i4>
      </vt:variant>
      <vt:variant>
        <vt:i4>0</vt:i4>
      </vt:variant>
      <vt:variant>
        <vt:i4>5</vt:i4>
      </vt:variant>
      <vt:variant>
        <vt:lpwstr>https://digital-strategy.ec.europa.eu/en/policies/europes-digital-decade</vt:lpwstr>
      </vt:variant>
      <vt:variant>
        <vt:lpwstr/>
      </vt:variant>
      <vt:variant>
        <vt:i4>655404</vt:i4>
      </vt:variant>
      <vt:variant>
        <vt:i4>18</vt:i4>
      </vt:variant>
      <vt:variant>
        <vt:i4>0</vt:i4>
      </vt:variant>
      <vt:variant>
        <vt:i4>5</vt:i4>
      </vt:variant>
      <vt:variant>
        <vt:lpwstr>https://www.oecd.org/content/dam/oecd/en/publications/reports/2021/12/promoting-high-quality-broadband-networks-in-g20-countries_379417ef/cf0093dc-en.pdf</vt:lpwstr>
      </vt:variant>
      <vt:variant>
        <vt:lpwstr/>
      </vt:variant>
      <vt:variant>
        <vt:i4>2293822</vt:i4>
      </vt:variant>
      <vt:variant>
        <vt:i4>15</vt:i4>
      </vt:variant>
      <vt:variant>
        <vt:i4>0</vt:i4>
      </vt:variant>
      <vt:variant>
        <vt:i4>5</vt:i4>
      </vt:variant>
      <vt:variant>
        <vt:lpwstr>https://www.ftthcouncil.eu/committees/market-intelligence/2154/2024-ftth-market-panorama-report-by-country</vt:lpwstr>
      </vt:variant>
      <vt:variant>
        <vt:lpwstr/>
      </vt:variant>
      <vt:variant>
        <vt:i4>3407995</vt:i4>
      </vt:variant>
      <vt:variant>
        <vt:i4>12</vt:i4>
      </vt:variant>
      <vt:variant>
        <vt:i4>0</vt:i4>
      </vt:variant>
      <vt:variant>
        <vt:i4>5</vt:i4>
      </vt:variant>
      <vt:variant>
        <vt:lpwstr>https://www.oecd.org/en/data/insights/statistical-releases/2025/05/fibre-and-5g-continue-to-expand-their-footprint-while-fixed-wireless-access-gains-ground-in-oecd-countries.html</vt:lpwstr>
      </vt:variant>
      <vt:variant>
        <vt:lpwstr/>
      </vt:variant>
      <vt:variant>
        <vt:i4>7929977</vt:i4>
      </vt:variant>
      <vt:variant>
        <vt:i4>9</vt:i4>
      </vt:variant>
      <vt:variant>
        <vt:i4>0</vt:i4>
      </vt:variant>
      <vt:variant>
        <vt:i4>5</vt:i4>
      </vt:variant>
      <vt:variant>
        <vt:lpwstr>https://digital-strategy.ec.europa.eu/en/policies/desi</vt:lpwstr>
      </vt:variant>
      <vt:variant>
        <vt:lpwstr/>
      </vt:variant>
      <vt:variant>
        <vt:i4>3604538</vt:i4>
      </vt:variant>
      <vt:variant>
        <vt:i4>6</vt:i4>
      </vt:variant>
      <vt:variant>
        <vt:i4>0</vt:i4>
      </vt:variant>
      <vt:variant>
        <vt:i4>5</vt:i4>
      </vt:variant>
      <vt:variant>
        <vt:lpwstr>https://www.worldbank.org/en/topic/digitaldevelopment/publication/broadband-for-all</vt:lpwstr>
      </vt:variant>
      <vt:variant>
        <vt:lpwstr/>
      </vt:variant>
      <vt:variant>
        <vt:i4>5898260</vt:i4>
      </vt:variant>
      <vt:variant>
        <vt:i4>3</vt:i4>
      </vt:variant>
      <vt:variant>
        <vt:i4>0</vt:i4>
      </vt:variant>
      <vt:variant>
        <vt:i4>5</vt:i4>
      </vt:variant>
      <vt:variant>
        <vt:lpwstr>https://www.itu.int/en/ITU-D/Statistics/Pages/facts/default.aspx</vt:lpwstr>
      </vt:variant>
      <vt:variant>
        <vt:lpwstr/>
      </vt:variant>
      <vt:variant>
        <vt:i4>4521994</vt:i4>
      </vt:variant>
      <vt:variant>
        <vt:i4>0</vt:i4>
      </vt:variant>
      <vt:variant>
        <vt:i4>0</vt:i4>
      </vt:variant>
      <vt:variant>
        <vt:i4>5</vt:i4>
      </vt:variant>
      <vt:variant>
        <vt:lpwstr>https://www.ssnf.org/globalassets/nyheter/uppkopplat---en-tidning-om-sveriges-stadsnat-2023-03-09.pdf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Adam Philippsthal</dc:creator>
  <cp:keywords/>
  <cp:lastModifiedBy>Adam Philippsthal</cp:lastModifiedBy>
  <cp:revision>32</cp:revision>
  <cp:lastPrinted>2026-02-24T15:24:00Z</cp:lastPrinted>
  <dcterms:created xsi:type="dcterms:W3CDTF">2026-02-24T15:15:00Z</dcterms:created>
  <dcterms:modified xsi:type="dcterms:W3CDTF">2026-03-09T08:12:00Z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0x0101004A3568CA49D45347BF2B6523517B09E7</vt:lpwstr>
  </property>
</Properties>
</file>